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支付表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4281170" cy="7611110"/>
            <wp:effectExtent l="0" t="0" r="5080" b="8890"/>
            <wp:docPr id="3" name="图片 3" descr="6632b30f07b2f2066f37e69f610f8a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6632b30f07b2f2066f37e69f610f8a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1170" cy="7611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br w:type="page"/>
      </w:r>
    </w:p>
    <w:p>
      <w:pPr>
        <w:numPr>
          <w:ilvl w:val="0"/>
          <w:numId w:val="0"/>
        </w:numPr>
        <w:ind w:left="0" w:leftChars="0" w:firstLine="0" w:firstLineChars="0"/>
        <w:jc w:val="left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中小企业声明函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690" cy="7023735"/>
            <wp:effectExtent l="0" t="0" r="10160" b="5715"/>
            <wp:docPr id="2" name="图片 2" descr="51f1e91bf6fa5ad82b398944e26535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1f1e91bf6fa5ad82b398944e26535c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37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业绩</w:t>
      </w:r>
    </w:p>
    <w:tbl>
      <w:tblPr>
        <w:tblStyle w:val="12"/>
        <w:tblpPr w:leftFromText="180" w:rightFromText="180" w:vertAnchor="text" w:horzAnchor="page" w:tblpXSpec="center" w:tblpY="715"/>
        <w:tblOverlap w:val="never"/>
        <w:tblW w:w="88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2889"/>
        <w:gridCol w:w="3243"/>
        <w:gridCol w:w="1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合同相对方单位名称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标的（万元）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泰安岱岳农村商业银行股份有限公司下港支行装修工程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泰安岱岳农村商业银行股份有限公司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106.4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泰安岱岳农村商业银行股份有限公司房村支行网点装修工程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泰安岱岳农村商业银行股份有限公司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188.2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泰山学院1#-5#学生公寓宿舍内插座线路改造项目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泰山学院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default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51.6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泰山学院“向未来”创新创业孵化基地改造工程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泰山学院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90.8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85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889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山东农业大学马克思主义学院VR虚拟仿真实验室改造装修项目</w:t>
            </w:r>
          </w:p>
        </w:tc>
        <w:tc>
          <w:tcPr>
            <w:tcW w:w="3243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山东农业大学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pStyle w:val="21"/>
              <w:spacing w:line="360" w:lineRule="auto"/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pacing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24.9</w:t>
            </w:r>
          </w:p>
        </w:tc>
      </w:tr>
    </w:tbl>
    <w:p>
      <w:pPr>
        <w:rPr>
          <w:rFonts w:hint="eastAsia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pStyle w:val="4"/>
        <w:numPr>
          <w:ilvl w:val="0"/>
          <w:numId w:val="0"/>
        </w:numPr>
        <w:jc w:val="center"/>
        <w:rPr>
          <w:rFonts w:hint="default" w:ascii="仿宋" w:hAnsi="仿宋" w:eastAsia="仿宋" w:cs="仿宋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 w:bidi="ar-SA"/>
        </w:rPr>
        <w:t>4.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分项报价表</w:t>
      </w:r>
      <w:bookmarkStart w:id="0" w:name="_GoBack"/>
      <w:bookmarkEnd w:id="0"/>
    </w:p>
    <w:tbl>
      <w:tblPr>
        <w:tblW w:w="982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1959"/>
        <w:gridCol w:w="2858"/>
        <w:gridCol w:w="430"/>
        <w:gridCol w:w="1419"/>
        <w:gridCol w:w="18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98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单位工程投标报价汇总表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32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工程名称：泰山学院2024年音乐楼环境改造工程</w:t>
            </w:r>
          </w:p>
        </w:tc>
        <w:tc>
          <w:tcPr>
            <w:tcW w:w="32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标段：泰山学院2024年音乐楼环境改造工程</w:t>
            </w:r>
          </w:p>
        </w:tc>
        <w:tc>
          <w:tcPr>
            <w:tcW w:w="3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第 1 页  共 1 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300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482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1850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金额(元)</w:t>
            </w:r>
          </w:p>
        </w:tc>
        <w:tc>
          <w:tcPr>
            <w:tcW w:w="186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其中：材料暂估价(元)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一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分部分项工程费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二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措施项目费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单价措施项目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总价措施项目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三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其他项目费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暂列金额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3.2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专业工程暂估价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特殊项目暂估价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计日工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采购保管费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3.6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其他检验试验费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3.7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总承包服务费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其他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四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规费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五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设备费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30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六</w:t>
            </w:r>
          </w:p>
        </w:tc>
        <w:tc>
          <w:tcPr>
            <w:tcW w:w="48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税金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120" w:type="dxa"/>
            <w:gridSpan w:val="3"/>
            <w:tcBorders>
              <w:top w:val="single" w:color="000000" w:sz="4" w:space="0"/>
              <w:left w:val="single" w:color="000000" w:sz="8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单位工程费用合计=一+二+三+四+五+六</w:t>
            </w:r>
          </w:p>
        </w:tc>
        <w:tc>
          <w:tcPr>
            <w:tcW w:w="18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396000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8" w:space="0"/>
            </w:tcBorders>
            <w:shd w:val="clear" w:color="FFFFFF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</w:tr>
    </w:tbl>
    <w:p>
      <w:pPr>
        <w:pStyle w:val="15"/>
        <w:ind w:left="0" w:leftChars="0" w:firstLine="0" w:firstLineChars="0"/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2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M2M5MGIzODRjZmM2Y2NjNDZiYzg0MWU0NTlhZjMifQ=="/>
  </w:docVars>
  <w:rsids>
    <w:rsidRoot w:val="1189795C"/>
    <w:rsid w:val="03B26B7D"/>
    <w:rsid w:val="04553F6E"/>
    <w:rsid w:val="07131EBF"/>
    <w:rsid w:val="0BB7550F"/>
    <w:rsid w:val="0E3746E5"/>
    <w:rsid w:val="10507CE0"/>
    <w:rsid w:val="1189795C"/>
    <w:rsid w:val="15787ABD"/>
    <w:rsid w:val="19DC7C86"/>
    <w:rsid w:val="1B754A9E"/>
    <w:rsid w:val="1BA07B67"/>
    <w:rsid w:val="1D5A199B"/>
    <w:rsid w:val="209B6D55"/>
    <w:rsid w:val="22DC3BFA"/>
    <w:rsid w:val="24561911"/>
    <w:rsid w:val="24ED1048"/>
    <w:rsid w:val="294572C6"/>
    <w:rsid w:val="2CA73B58"/>
    <w:rsid w:val="32C96AA2"/>
    <w:rsid w:val="335C4FA7"/>
    <w:rsid w:val="33CB12A8"/>
    <w:rsid w:val="34AA5361"/>
    <w:rsid w:val="36D529A0"/>
    <w:rsid w:val="36EE62CF"/>
    <w:rsid w:val="37492C0F"/>
    <w:rsid w:val="391B4A7F"/>
    <w:rsid w:val="39F2758E"/>
    <w:rsid w:val="3AEC0481"/>
    <w:rsid w:val="3AFD2067"/>
    <w:rsid w:val="3B8B277F"/>
    <w:rsid w:val="45464266"/>
    <w:rsid w:val="462F2DEC"/>
    <w:rsid w:val="469B2DD5"/>
    <w:rsid w:val="514209A3"/>
    <w:rsid w:val="555C13E5"/>
    <w:rsid w:val="55642FFD"/>
    <w:rsid w:val="55913CA7"/>
    <w:rsid w:val="592D0B22"/>
    <w:rsid w:val="59DB1995"/>
    <w:rsid w:val="59EE16C8"/>
    <w:rsid w:val="5A3F1F24"/>
    <w:rsid w:val="5AB75F5E"/>
    <w:rsid w:val="5D3D5A17"/>
    <w:rsid w:val="62F970C4"/>
    <w:rsid w:val="6672542F"/>
    <w:rsid w:val="69BB70ED"/>
    <w:rsid w:val="6BF6408D"/>
    <w:rsid w:val="6D035033"/>
    <w:rsid w:val="71193EBD"/>
    <w:rsid w:val="72587BCF"/>
    <w:rsid w:val="72EB459F"/>
    <w:rsid w:val="764D41DD"/>
    <w:rsid w:val="79C618C2"/>
    <w:rsid w:val="7C2F6849"/>
    <w:rsid w:val="7E68119A"/>
    <w:rsid w:val="7EC565EC"/>
    <w:rsid w:val="7F43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13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1"/>
    <w:autoRedefine/>
    <w:unhideWhenUsed/>
    <w:qFormat/>
    <w:uiPriority w:val="99"/>
    <w:pPr>
      <w:ind w:firstLine="420" w:firstLineChars="200"/>
    </w:p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customStyle="1" w:styleId="5">
    <w:name w:val="Default"/>
    <w:autoRedefine/>
    <w:qFormat/>
    <w:uiPriority w:val="0"/>
    <w:pPr>
      <w:widowControl w:val="0"/>
      <w:autoSpaceDE w:val="0"/>
      <w:autoSpaceDN w:val="0"/>
      <w:adjustRightInd w:val="0"/>
      <w:spacing w:line="360" w:lineRule="auto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6">
    <w:name w:val="Body Text Indent"/>
    <w:basedOn w:val="1"/>
    <w:autoRedefine/>
    <w:unhideWhenUsed/>
    <w:qFormat/>
    <w:uiPriority w:val="99"/>
    <w:pPr>
      <w:spacing w:after="120"/>
      <w:ind w:left="420" w:leftChars="200"/>
    </w:pPr>
  </w:style>
  <w:style w:type="paragraph" w:styleId="7">
    <w:name w:val="Plain Text"/>
    <w:basedOn w:val="1"/>
    <w:next w:val="1"/>
    <w:autoRedefine/>
    <w:qFormat/>
    <w:uiPriority w:val="0"/>
    <w:pPr>
      <w:jc w:val="both"/>
    </w:pPr>
    <w:rPr>
      <w:rFonts w:ascii="宋体" w:hAnsi="Courier New" w:cs="Times New Roman"/>
      <w:sz w:val="21"/>
      <w:szCs w:val="20"/>
    </w:rPr>
  </w:style>
  <w:style w:type="paragraph" w:styleId="8">
    <w:name w:val="toc 1"/>
    <w:basedOn w:val="1"/>
    <w:next w:val="1"/>
    <w:autoRedefine/>
    <w:qFormat/>
    <w:uiPriority w:val="39"/>
    <w:pPr>
      <w:tabs>
        <w:tab w:val="right" w:leader="dot" w:pos="9345"/>
      </w:tabs>
      <w:spacing w:before="120" w:after="120" w:line="440" w:lineRule="exact"/>
      <w:ind w:firstLine="769" w:firstLineChars="383"/>
    </w:pPr>
    <w:rPr>
      <w:b/>
      <w:bCs/>
      <w:caps/>
    </w:rPr>
  </w:style>
  <w:style w:type="paragraph" w:styleId="9">
    <w:name w:val="Body Text First Indent"/>
    <w:basedOn w:val="4"/>
    <w:next w:val="10"/>
    <w:autoRedefine/>
    <w:qFormat/>
    <w:uiPriority w:val="0"/>
    <w:pPr>
      <w:tabs>
        <w:tab w:val="left" w:pos="567"/>
      </w:tabs>
      <w:ind w:firstLine="420" w:firstLineChars="100"/>
    </w:pPr>
  </w:style>
  <w:style w:type="paragraph" w:styleId="10">
    <w:name w:val="Body Text First Indent 2"/>
    <w:basedOn w:val="6"/>
    <w:next w:val="9"/>
    <w:autoRedefine/>
    <w:unhideWhenUsed/>
    <w:qFormat/>
    <w:uiPriority w:val="99"/>
    <w:pPr>
      <w:ind w:firstLine="420" w:firstLineChars="200"/>
    </w:p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Style1"/>
    <w:next w:val="15"/>
    <w:autoRedefine/>
    <w:qFormat/>
    <w:uiPriority w:val="0"/>
    <w:pPr>
      <w:spacing w:after="120"/>
      <w:jc w:val="both"/>
    </w:pPr>
    <w:rPr>
      <w:rFonts w:ascii="Times New Roman" w:hAnsi="Times New Roman" w:eastAsia="Times New Roman" w:cs="Times New Roman"/>
      <w:color w:val="000000"/>
      <w:spacing w:val="-3"/>
      <w:sz w:val="24"/>
      <w:szCs w:val="24"/>
      <w:lang w:val="en-US" w:eastAsia="zh-CN" w:bidi="ar-SA"/>
    </w:rPr>
  </w:style>
  <w:style w:type="paragraph" w:customStyle="1" w:styleId="15">
    <w:name w:val="*正文"/>
    <w:basedOn w:val="1"/>
    <w:autoRedefine/>
    <w:qFormat/>
    <w:uiPriority w:val="0"/>
    <w:pPr>
      <w:ind w:firstLine="200" w:firstLineChars="200"/>
    </w:pPr>
    <w:rPr>
      <w:rFonts w:ascii="宋体" w:hAnsi="宋体"/>
      <w:szCs w:val="22"/>
    </w:rPr>
  </w:style>
  <w:style w:type="paragraph" w:customStyle="1" w:styleId="16">
    <w:name w:val="附件标题01"/>
    <w:basedOn w:val="7"/>
    <w:autoRedefine/>
    <w:qFormat/>
    <w:uiPriority w:val="0"/>
    <w:pPr>
      <w:jc w:val="center"/>
    </w:pPr>
    <w:rPr>
      <w:b/>
      <w:sz w:val="24"/>
      <w:szCs w:val="24"/>
    </w:rPr>
  </w:style>
  <w:style w:type="paragraph" w:customStyle="1" w:styleId="17">
    <w:name w:val="Table Paragraph"/>
    <w:basedOn w:val="1"/>
    <w:autoRedefine/>
    <w:qFormat/>
    <w:uiPriority w:val="1"/>
    <w:pPr>
      <w:autoSpaceDE w:val="0"/>
      <w:autoSpaceDN w:val="0"/>
    </w:pPr>
    <w:rPr>
      <w:rFonts w:ascii="宋体" w:hAnsi="宋体"/>
      <w:kern w:val="0"/>
      <w:sz w:val="22"/>
      <w:lang w:val="zh-CN" w:bidi="zh-CN"/>
    </w:rPr>
  </w:style>
  <w:style w:type="paragraph" w:customStyle="1" w:styleId="18">
    <w:name w:val="标准"/>
    <w:next w:val="1"/>
    <w:autoRedefine/>
    <w:qFormat/>
    <w:uiPriority w:val="0"/>
    <w:pPr>
      <w:widowControl w:val="0"/>
      <w:spacing w:before="120" w:after="120" w:line="312" w:lineRule="atLeast"/>
      <w:ind w:firstLine="3584"/>
      <w:jc w:val="both"/>
    </w:pPr>
    <w:rPr>
      <w:rFonts w:ascii="Times New Roman" w:hAnsi="Times New Roman" w:eastAsia="宋体" w:cs="Times New Roman"/>
      <w:lang w:val="en-US" w:eastAsia="zh-CN" w:bidi="ar-SA"/>
    </w:rPr>
  </w:style>
  <w:style w:type="table" w:customStyle="1" w:styleId="1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0">
    <w:name w:val="Table Text"/>
    <w:basedOn w:val="1"/>
    <w:autoRedefine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paragraph" w:customStyle="1" w:styleId="21">
    <w:name w:val="样式3"/>
    <w:basedOn w:val="1"/>
    <w:qFormat/>
    <w:uiPriority w:val="99"/>
    <w:pPr>
      <w:spacing w:line="480" w:lineRule="exact"/>
      <w:jc w:val="center"/>
    </w:pPr>
    <w:rPr>
      <w:rFonts w:ascii="Arial" w:hAnsi="Arial" w:eastAsia="黑体"/>
      <w:spacing w:val="6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539</Words>
  <Characters>647</Characters>
  <Lines>0</Lines>
  <Paragraphs>0</Paragraphs>
  <TotalTime>8</TotalTime>
  <ScaleCrop>false</ScaleCrop>
  <LinksUpToDate>false</LinksUpToDate>
  <CharactersWithSpaces>651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2023-08-14T03:38:00Z</dcterms:created>
  <dc:creator>友人A</dc:creator>
  <cp:lastModifiedBy>友人A</cp:lastModifiedBy>
  <dcterms:modified xsi:type="dcterms:W3CDTF">2024-06-25T09:24:14Z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E258AF3AF90444F29192DD6D5659F12E_11</vt:lpwstr>
  </property>
</Properties>
</file>