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96D25">
      <w:pPr>
        <w:spacing w:line="600" w:lineRule="auto"/>
        <w:ind w:left="0" w:leftChars="0" w:firstLine="0" w:firstLineChars="0"/>
        <w:jc w:val="center"/>
        <w:rPr>
          <w:rFonts w:hint="eastAsia" w:ascii="宋体" w:hAnsi="宋体" w:eastAsia="宋体" w:cs="宋体"/>
          <w:b/>
          <w:color w:val="auto"/>
          <w:sz w:val="44"/>
          <w:szCs w:val="44"/>
          <w:highlight w:val="none"/>
        </w:rPr>
      </w:pPr>
      <w:bookmarkStart w:id="0" w:name="OLE_LINK1"/>
    </w:p>
    <w:p w14:paraId="7FFAB997">
      <w:pPr>
        <w:spacing w:line="600" w:lineRule="auto"/>
        <w:ind w:left="0" w:leftChars="0" w:firstLine="0" w:firstLineChars="0"/>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泰山学院</w:t>
      </w:r>
    </w:p>
    <w:p w14:paraId="04EDB048">
      <w:pPr>
        <w:spacing w:line="600" w:lineRule="auto"/>
        <w:ind w:left="0" w:leftChars="0" w:firstLine="0" w:firstLineChars="0"/>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体育学院运动生理实验室（运动负荷实验测试系统)采购项目（61022）</w:t>
      </w:r>
    </w:p>
    <w:bookmarkEnd w:id="0"/>
    <w:p w14:paraId="434CB62E">
      <w:pPr>
        <w:spacing w:line="600" w:lineRule="auto"/>
        <w:ind w:firstLine="2650" w:firstLineChars="600"/>
        <w:rPr>
          <w:rFonts w:hint="eastAsia" w:ascii="宋体" w:hAnsi="宋体" w:eastAsia="宋体" w:cs="宋体"/>
          <w:b/>
          <w:color w:val="auto"/>
          <w:sz w:val="44"/>
          <w:szCs w:val="44"/>
          <w:highlight w:val="none"/>
        </w:rPr>
      </w:pPr>
    </w:p>
    <w:p w14:paraId="4425BD16">
      <w:pPr>
        <w:spacing w:line="600" w:lineRule="auto"/>
        <w:ind w:firstLine="2650" w:firstLineChars="600"/>
        <w:rPr>
          <w:rFonts w:ascii="宋体" w:hAnsi="宋体" w:eastAsia="宋体" w:cs="宋体"/>
          <w:b/>
          <w:color w:val="auto"/>
          <w:sz w:val="36"/>
          <w:szCs w:val="36"/>
          <w:highlight w:val="none"/>
        </w:rPr>
      </w:pPr>
      <w:r>
        <w:rPr>
          <w:rFonts w:hint="eastAsia" w:ascii="宋体" w:hAnsi="宋体" w:eastAsia="宋体" w:cs="宋体"/>
          <w:b/>
          <w:color w:val="auto"/>
          <w:sz w:val="44"/>
          <w:szCs w:val="44"/>
          <w:highlight w:val="none"/>
        </w:rPr>
        <w:t>竞争性磋商文件</w:t>
      </w:r>
    </w:p>
    <w:p w14:paraId="6DCF323B">
      <w:pPr>
        <w:ind w:firstLine="1272" w:firstLineChars="352"/>
        <w:rPr>
          <w:rFonts w:hint="eastAsia" w:ascii="宋体" w:hAnsi="宋体" w:eastAsia="宋体" w:cs="宋体"/>
          <w:b/>
          <w:color w:val="auto"/>
          <w:sz w:val="36"/>
          <w:szCs w:val="36"/>
          <w:highlight w:val="none"/>
        </w:rPr>
      </w:pPr>
    </w:p>
    <w:p w14:paraId="3E4574DC">
      <w:pPr>
        <w:ind w:firstLine="1272" w:firstLineChars="352"/>
        <w:rPr>
          <w:rFonts w:hint="eastAsia" w:ascii="宋体" w:hAnsi="宋体" w:eastAsia="宋体" w:cs="宋体"/>
          <w:b/>
          <w:bCs/>
          <w:color w:val="FF0000"/>
          <w:szCs w:val="24"/>
          <w:highlight w:val="none"/>
          <w:lang w:val="en-US" w:eastAsia="zh-CN"/>
        </w:rPr>
      </w:pPr>
      <w:r>
        <w:rPr>
          <w:rFonts w:hint="eastAsia" w:ascii="宋体" w:hAnsi="宋体" w:eastAsia="宋体" w:cs="宋体"/>
          <w:b/>
          <w:color w:val="auto"/>
          <w:sz w:val="36"/>
          <w:szCs w:val="36"/>
          <w:highlight w:val="none"/>
        </w:rPr>
        <w:t>项目编号：</w:t>
      </w:r>
      <w:r>
        <w:rPr>
          <w:rFonts w:hint="eastAsia" w:ascii="宋体" w:hAnsi="宋体" w:eastAsia="宋体" w:cs="宋体"/>
          <w:b/>
          <w:color w:val="FF0000"/>
          <w:sz w:val="36"/>
          <w:szCs w:val="36"/>
          <w:highlight w:val="none"/>
          <w:lang w:eastAsia="zh-CN"/>
        </w:rPr>
        <w:t>SDGP370000000202502007204</w:t>
      </w:r>
    </w:p>
    <w:p w14:paraId="1A18BD04">
      <w:pPr>
        <w:pStyle w:val="12"/>
        <w:ind w:left="0" w:leftChars="0" w:right="-42" w:firstLine="0" w:firstLineChars="0"/>
        <w:jc w:val="center"/>
        <w:rPr>
          <w:rFonts w:ascii="宋体" w:hAnsi="宋体" w:cs="宋体"/>
          <w:b/>
          <w:bCs/>
          <w:color w:val="auto"/>
          <w:sz w:val="36"/>
          <w:szCs w:val="36"/>
          <w:highlight w:val="none"/>
        </w:rPr>
      </w:pPr>
    </w:p>
    <w:p w14:paraId="623C796A">
      <w:pPr>
        <w:pStyle w:val="12"/>
        <w:ind w:left="0" w:leftChars="0" w:right="-42" w:firstLine="0" w:firstLineChars="0"/>
        <w:jc w:val="center"/>
        <w:rPr>
          <w:rFonts w:ascii="宋体" w:hAnsi="宋体" w:eastAsia="宋体" w:cs="宋体"/>
          <w:b/>
          <w:bCs/>
          <w:color w:val="auto"/>
          <w:szCs w:val="24"/>
          <w:highlight w:val="none"/>
        </w:rPr>
      </w:pPr>
      <w:r>
        <w:rPr>
          <w:rFonts w:hint="eastAsia" w:ascii="宋体" w:hAnsi="宋体" w:cs="宋体"/>
          <w:b/>
          <w:bCs/>
          <w:color w:val="auto"/>
          <w:sz w:val="36"/>
          <w:szCs w:val="36"/>
          <w:highlight w:val="none"/>
        </w:rPr>
        <w:t>(第二册 项目专用部分)</w:t>
      </w:r>
    </w:p>
    <w:p w14:paraId="6E2DDEF7">
      <w:pPr>
        <w:ind w:left="0" w:leftChars="0" w:firstLine="0" w:firstLineChars="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rPr>
        <w:drawing>
          <wp:anchor distT="0" distB="0" distL="114300" distR="114300" simplePos="0" relativeHeight="251660288" behindDoc="0" locked="0" layoutInCell="1" allowOverlap="1">
            <wp:simplePos x="0" y="0"/>
            <wp:positionH relativeFrom="column">
              <wp:posOffset>2219960</wp:posOffset>
            </wp:positionH>
            <wp:positionV relativeFrom="paragraph">
              <wp:posOffset>165735</wp:posOffset>
            </wp:positionV>
            <wp:extent cx="1162050" cy="1362075"/>
            <wp:effectExtent l="0" t="0" r="11430" b="9525"/>
            <wp:wrapSquare wrapText="bothSides"/>
            <wp:docPr id="2" name="图片 2"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未标题-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62050" cy="1362075"/>
                    </a:xfrm>
                    <a:prstGeom prst="rect">
                      <a:avLst/>
                    </a:prstGeom>
                    <a:noFill/>
                    <a:ln>
                      <a:noFill/>
                    </a:ln>
                  </pic:spPr>
                </pic:pic>
              </a:graphicData>
            </a:graphic>
          </wp:anchor>
        </w:drawing>
      </w:r>
    </w:p>
    <w:p w14:paraId="764EB918">
      <w:pPr>
        <w:ind w:firstLine="0" w:firstLineChars="0"/>
        <w:rPr>
          <w:rFonts w:ascii="宋体" w:hAnsi="宋体" w:eastAsia="宋体" w:cs="宋体"/>
          <w:b/>
          <w:bCs/>
          <w:color w:val="auto"/>
          <w:szCs w:val="24"/>
          <w:highlight w:val="none"/>
        </w:rPr>
      </w:pPr>
    </w:p>
    <w:p w14:paraId="0360D73C">
      <w:pPr>
        <w:ind w:firstLine="482"/>
        <w:jc w:val="center"/>
        <w:rPr>
          <w:rFonts w:ascii="宋体" w:hAnsi="宋体" w:eastAsia="宋体" w:cs="宋体"/>
          <w:b/>
          <w:bCs/>
          <w:color w:val="auto"/>
          <w:szCs w:val="24"/>
          <w:highlight w:val="none"/>
        </w:rPr>
      </w:pPr>
    </w:p>
    <w:p w14:paraId="33C0A3DA">
      <w:pPr>
        <w:ind w:firstLine="482"/>
        <w:jc w:val="center"/>
        <w:rPr>
          <w:rFonts w:ascii="宋体" w:hAnsi="宋体" w:eastAsia="宋体" w:cs="宋体"/>
          <w:b/>
          <w:bCs/>
          <w:color w:val="auto"/>
          <w:szCs w:val="24"/>
          <w:highlight w:val="none"/>
        </w:rPr>
      </w:pPr>
    </w:p>
    <w:p w14:paraId="006868AE">
      <w:pPr>
        <w:ind w:firstLine="482"/>
        <w:jc w:val="center"/>
        <w:rPr>
          <w:rFonts w:ascii="宋体" w:hAnsi="宋体" w:eastAsia="宋体" w:cs="宋体"/>
          <w:b/>
          <w:bCs/>
          <w:color w:val="auto"/>
          <w:szCs w:val="24"/>
          <w:highlight w:val="none"/>
        </w:rPr>
      </w:pPr>
    </w:p>
    <w:p w14:paraId="5BADF6EA">
      <w:pPr>
        <w:ind w:firstLine="482"/>
        <w:jc w:val="center"/>
        <w:rPr>
          <w:rFonts w:ascii="宋体" w:hAnsi="宋体" w:eastAsia="宋体" w:cs="宋体"/>
          <w:b/>
          <w:bCs/>
          <w:color w:val="auto"/>
          <w:szCs w:val="24"/>
          <w:highlight w:val="none"/>
        </w:rPr>
      </w:pPr>
    </w:p>
    <w:p w14:paraId="422F0FAE">
      <w:pPr>
        <w:ind w:firstLine="482"/>
        <w:jc w:val="center"/>
        <w:rPr>
          <w:rFonts w:ascii="宋体" w:hAnsi="宋体" w:eastAsia="宋体" w:cs="宋体"/>
          <w:b/>
          <w:bCs/>
          <w:color w:val="auto"/>
          <w:szCs w:val="24"/>
          <w:highlight w:val="none"/>
        </w:rPr>
      </w:pPr>
    </w:p>
    <w:p w14:paraId="274D4E7C">
      <w:pPr>
        <w:pStyle w:val="19"/>
        <w:ind w:left="0" w:leftChars="0" w:firstLine="0" w:firstLineChars="0"/>
        <w:rPr>
          <w:rFonts w:hint="eastAsia" w:ascii="宋体" w:hAnsi="宋体" w:eastAsia="宋体" w:cs="宋体"/>
          <w:b/>
          <w:bCs/>
          <w:color w:val="auto"/>
          <w:szCs w:val="24"/>
          <w:highlight w:val="none"/>
        </w:rPr>
      </w:pPr>
    </w:p>
    <w:p w14:paraId="6626874F">
      <w:pPr>
        <w:rPr>
          <w:rFonts w:hint="eastAsia"/>
          <w:color w:val="auto"/>
          <w:highlight w:val="none"/>
        </w:rPr>
      </w:pPr>
    </w:p>
    <w:p w14:paraId="51D89F32">
      <w:pPr>
        <w:rPr>
          <w:color w:val="auto"/>
          <w:highlight w:val="none"/>
        </w:rPr>
      </w:pPr>
    </w:p>
    <w:p w14:paraId="4C93226B">
      <w:pPr>
        <w:ind w:left="1440" w:leftChars="600" w:firstLine="260" w:firstLineChars="72"/>
        <w:rPr>
          <w:rFonts w:hint="eastAsia" w:ascii="宋体" w:hAnsi="宋体" w:eastAsia="宋体" w:cs="宋体"/>
          <w:b/>
          <w:color w:val="auto"/>
          <w:sz w:val="36"/>
          <w:szCs w:val="36"/>
          <w:highlight w:val="none"/>
          <w:u w:val="single"/>
          <w:lang w:eastAsia="zh-CN"/>
        </w:rPr>
      </w:pPr>
      <w:r>
        <w:rPr>
          <w:rFonts w:hint="eastAsia" w:ascii="宋体" w:hAnsi="宋体" w:eastAsia="宋体" w:cs="宋体"/>
          <w:b/>
          <w:color w:val="auto"/>
          <w:sz w:val="36"/>
          <w:szCs w:val="36"/>
          <w:highlight w:val="none"/>
        </w:rPr>
        <w:t>采   购   人：</w:t>
      </w:r>
      <w:r>
        <w:rPr>
          <w:rFonts w:hint="eastAsia" w:ascii="宋体" w:hAnsi="宋体" w:eastAsia="宋体" w:cs="宋体"/>
          <w:b/>
          <w:color w:val="auto"/>
          <w:sz w:val="36"/>
          <w:szCs w:val="36"/>
          <w:highlight w:val="none"/>
          <w:u w:val="single"/>
          <w:lang w:eastAsia="zh-CN"/>
        </w:rPr>
        <w:t>泰山学院</w:t>
      </w:r>
    </w:p>
    <w:p w14:paraId="7E318F32">
      <w:pPr>
        <w:ind w:left="1440" w:leftChars="600" w:firstLine="260" w:firstLineChars="72"/>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采购代理机构：</w:t>
      </w:r>
      <w:r>
        <w:rPr>
          <w:rFonts w:hint="eastAsia" w:ascii="宋体" w:hAnsi="宋体" w:eastAsia="宋体" w:cs="宋体"/>
          <w:b/>
          <w:color w:val="auto"/>
          <w:sz w:val="36"/>
          <w:szCs w:val="36"/>
          <w:highlight w:val="none"/>
          <w:u w:val="single"/>
        </w:rPr>
        <w:t>山东三木招标有限公司</w:t>
      </w:r>
    </w:p>
    <w:p w14:paraId="316FD8ED">
      <w:pPr>
        <w:ind w:left="1440" w:leftChars="600" w:firstLine="260" w:firstLineChars="72"/>
        <w:rPr>
          <w:rFonts w:ascii="宋体" w:hAnsi="宋体" w:eastAsia="宋体" w:cs="宋体"/>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color w:val="auto"/>
          <w:sz w:val="36"/>
          <w:szCs w:val="36"/>
          <w:highlight w:val="none"/>
        </w:rPr>
        <w:t>日        期：</w:t>
      </w:r>
      <w:r>
        <w:rPr>
          <w:rFonts w:hint="eastAsia" w:ascii="宋体" w:hAnsi="宋体" w:eastAsia="宋体" w:cs="宋体"/>
          <w:b/>
          <w:color w:val="auto"/>
          <w:sz w:val="36"/>
          <w:szCs w:val="36"/>
          <w:highlight w:val="none"/>
          <w:u w:val="single"/>
        </w:rPr>
        <w:t>二〇二</w:t>
      </w:r>
      <w:r>
        <w:rPr>
          <w:rFonts w:hint="eastAsia" w:ascii="宋体" w:hAnsi="宋体" w:eastAsia="宋体" w:cs="宋体"/>
          <w:b/>
          <w:color w:val="auto"/>
          <w:sz w:val="36"/>
          <w:szCs w:val="36"/>
          <w:highlight w:val="none"/>
          <w:u w:val="single"/>
          <w:lang w:val="en-US" w:eastAsia="zh-CN"/>
        </w:rPr>
        <w:t>五</w:t>
      </w:r>
      <w:r>
        <w:rPr>
          <w:rFonts w:hint="eastAsia" w:ascii="宋体" w:hAnsi="宋体" w:eastAsia="宋体" w:cs="宋体"/>
          <w:b/>
          <w:color w:val="auto"/>
          <w:sz w:val="36"/>
          <w:szCs w:val="36"/>
          <w:highlight w:val="none"/>
          <w:u w:val="single"/>
        </w:rPr>
        <w:t>年</w:t>
      </w:r>
      <w:r>
        <w:rPr>
          <w:rFonts w:hint="eastAsia" w:ascii="宋体" w:hAnsi="宋体" w:eastAsia="宋体" w:cs="宋体"/>
          <w:b/>
          <w:color w:val="auto"/>
          <w:sz w:val="36"/>
          <w:szCs w:val="36"/>
          <w:highlight w:val="none"/>
          <w:u w:val="single"/>
          <w:lang w:val="en-US" w:eastAsia="zh-CN"/>
        </w:rPr>
        <w:t>九</w:t>
      </w:r>
      <w:r>
        <w:rPr>
          <w:rFonts w:hint="eastAsia" w:ascii="宋体" w:hAnsi="宋体" w:eastAsia="宋体" w:cs="宋体"/>
          <w:b/>
          <w:color w:val="auto"/>
          <w:sz w:val="36"/>
          <w:szCs w:val="36"/>
          <w:highlight w:val="none"/>
          <w:u w:val="single"/>
        </w:rPr>
        <w:t>月</w:t>
      </w:r>
    </w:p>
    <w:p w14:paraId="333AFADF">
      <w:pPr>
        <w:pStyle w:val="97"/>
        <w:tabs>
          <w:tab w:val="left" w:pos="3744"/>
          <w:tab w:val="center" w:pos="5059"/>
        </w:tabs>
        <w:spacing w:before="0" w:line="360" w:lineRule="auto"/>
        <w:jc w:val="center"/>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目</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val="zh-CN"/>
        </w:rPr>
        <w:t>录</w:t>
      </w:r>
    </w:p>
    <w:p w14:paraId="3613366C">
      <w:pPr>
        <w:widowControl/>
        <w:ind w:firstLine="640"/>
        <w:jc w:val="center"/>
        <w:rPr>
          <w:rFonts w:ascii="宋体" w:hAnsi="宋体" w:eastAsia="宋体" w:cs="宋体"/>
          <w:color w:val="auto"/>
          <w:sz w:val="32"/>
          <w:szCs w:val="32"/>
          <w:highlight w:val="none"/>
        </w:rPr>
      </w:pPr>
    </w:p>
    <w:p w14:paraId="1644E153">
      <w:pPr>
        <w:pStyle w:val="12"/>
        <w:spacing w:afterLines="50"/>
        <w:ind w:left="0" w:leftChars="0" w:firstLine="410" w:firstLineChars="146"/>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第一册  通用部分 </w:t>
      </w:r>
    </w:p>
    <w:p w14:paraId="2BD76A06">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第一部分   供应商须知</w:t>
      </w:r>
    </w:p>
    <w:p w14:paraId="2655F70A">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第二部分   政府采购合同</w:t>
      </w:r>
    </w:p>
    <w:p w14:paraId="480AEC37">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第三部分   响应文件格式</w:t>
      </w:r>
    </w:p>
    <w:p w14:paraId="2A3A270F">
      <w:pPr>
        <w:pStyle w:val="12"/>
        <w:spacing w:after="0"/>
        <w:ind w:left="0" w:leftChars="0"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第四部分   附件</w:t>
      </w:r>
    </w:p>
    <w:p w14:paraId="753C395C">
      <w:pPr>
        <w:ind w:firstLine="480"/>
        <w:rPr>
          <w:rFonts w:ascii="宋体" w:hAnsi="宋体" w:eastAsia="宋体" w:cs="宋体"/>
          <w:color w:val="auto"/>
          <w:highlight w:val="none"/>
        </w:rPr>
      </w:pPr>
    </w:p>
    <w:p w14:paraId="5262809D">
      <w:pPr>
        <w:pStyle w:val="12"/>
        <w:spacing w:afterLines="50"/>
        <w:ind w:left="0" w:leftChars="0" w:firstLine="410" w:firstLineChars="146"/>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第二册  项目专用部分 (本册)</w:t>
      </w:r>
    </w:p>
    <w:p w14:paraId="74457268">
      <w:pPr>
        <w:pStyle w:val="19"/>
        <w:tabs>
          <w:tab w:val="right" w:leader="dot" w:pos="9638"/>
        </w:tabs>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_Toc11256 </w:instrText>
      </w:r>
      <w:r>
        <w:rPr>
          <w:rFonts w:hint="eastAsia" w:ascii="宋体" w:hAnsi="宋体" w:eastAsia="宋体" w:cs="宋体"/>
          <w:szCs w:val="28"/>
          <w:highlight w:val="none"/>
        </w:rPr>
        <w:fldChar w:fldCharType="separate"/>
      </w:r>
      <w:r>
        <w:rPr>
          <w:rFonts w:hint="eastAsia" w:ascii="宋体" w:hAnsi="宋体" w:eastAsia="宋体" w:cs="宋体"/>
          <w:highlight w:val="none"/>
          <w:lang w:val="en-US" w:eastAsia="zh-CN"/>
        </w:rPr>
        <w:t>第五部分  竞争性磋商公告</w:t>
      </w:r>
      <w:r>
        <w:tab/>
      </w:r>
      <w:r>
        <w:fldChar w:fldCharType="begin"/>
      </w:r>
      <w:r>
        <w:instrText xml:space="preserve"> PAGEREF _Toc11256 \h </w:instrText>
      </w:r>
      <w:r>
        <w:fldChar w:fldCharType="separate"/>
      </w:r>
      <w:r>
        <w:t>1</w:t>
      </w:r>
      <w:r>
        <w:fldChar w:fldCharType="end"/>
      </w:r>
      <w:r>
        <w:rPr>
          <w:rFonts w:hint="eastAsia" w:ascii="宋体" w:hAnsi="宋体" w:eastAsia="宋体" w:cs="宋体"/>
          <w:color w:val="auto"/>
          <w:szCs w:val="28"/>
          <w:highlight w:val="none"/>
        </w:rPr>
        <w:fldChar w:fldCharType="end"/>
      </w:r>
    </w:p>
    <w:p w14:paraId="2D75B8F5">
      <w:pPr>
        <w:pStyle w:val="19"/>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_Toc27601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lang w:val="en-US" w:eastAsia="zh-CN"/>
        </w:rPr>
        <w:t xml:space="preserve">第六部分  </w:t>
      </w:r>
      <w:r>
        <w:rPr>
          <w:rFonts w:hint="eastAsia" w:ascii="宋体" w:hAnsi="宋体" w:eastAsia="宋体" w:cs="宋体"/>
          <w:highlight w:val="none"/>
        </w:rPr>
        <w:t>供应商须知附表</w:t>
      </w:r>
      <w:r>
        <w:tab/>
      </w:r>
      <w:r>
        <w:fldChar w:fldCharType="begin"/>
      </w:r>
      <w:r>
        <w:instrText xml:space="preserve"> PAGEREF _Toc27601 \h </w:instrText>
      </w:r>
      <w:r>
        <w:fldChar w:fldCharType="separate"/>
      </w:r>
      <w:r>
        <w:t>3</w:t>
      </w:r>
      <w:r>
        <w:fldChar w:fldCharType="end"/>
      </w:r>
      <w:r>
        <w:rPr>
          <w:rFonts w:hint="eastAsia" w:ascii="宋体" w:hAnsi="宋体" w:eastAsia="宋体" w:cs="宋体"/>
          <w:bCs/>
          <w:color w:val="auto"/>
          <w:szCs w:val="28"/>
          <w:highlight w:val="none"/>
          <w:lang w:val="zh-CN"/>
        </w:rPr>
        <w:fldChar w:fldCharType="end"/>
      </w:r>
    </w:p>
    <w:p w14:paraId="6D2A4367">
      <w:pPr>
        <w:pStyle w:val="19"/>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_Toc18985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rPr>
        <w:t>第七部分</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评审办法</w:t>
      </w:r>
      <w:r>
        <w:tab/>
      </w:r>
      <w:r>
        <w:fldChar w:fldCharType="begin"/>
      </w:r>
      <w:r>
        <w:instrText xml:space="preserve"> PAGEREF _Toc18985 \h </w:instrText>
      </w:r>
      <w:r>
        <w:fldChar w:fldCharType="separate"/>
      </w:r>
      <w:r>
        <w:t>8</w:t>
      </w:r>
      <w:r>
        <w:fldChar w:fldCharType="end"/>
      </w:r>
      <w:r>
        <w:rPr>
          <w:rFonts w:hint="eastAsia" w:ascii="宋体" w:hAnsi="宋体" w:eastAsia="宋体" w:cs="宋体"/>
          <w:bCs/>
          <w:color w:val="auto"/>
          <w:szCs w:val="28"/>
          <w:highlight w:val="none"/>
          <w:lang w:val="zh-CN"/>
        </w:rPr>
        <w:fldChar w:fldCharType="end"/>
      </w:r>
    </w:p>
    <w:p w14:paraId="3BF079C7">
      <w:pPr>
        <w:pStyle w:val="21"/>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_Toc18601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rPr>
        <w:t>一、评审方法</w:t>
      </w:r>
      <w:r>
        <w:tab/>
      </w:r>
      <w:r>
        <w:fldChar w:fldCharType="begin"/>
      </w:r>
      <w:r>
        <w:instrText xml:space="preserve"> PAGEREF _Toc18601 \h </w:instrText>
      </w:r>
      <w:r>
        <w:fldChar w:fldCharType="separate"/>
      </w:r>
      <w:r>
        <w:t>8</w:t>
      </w:r>
      <w:r>
        <w:fldChar w:fldCharType="end"/>
      </w:r>
      <w:r>
        <w:rPr>
          <w:rFonts w:hint="eastAsia" w:ascii="宋体" w:hAnsi="宋体" w:eastAsia="宋体" w:cs="宋体"/>
          <w:bCs/>
          <w:color w:val="auto"/>
          <w:szCs w:val="28"/>
          <w:highlight w:val="none"/>
          <w:lang w:val="zh-CN"/>
        </w:rPr>
        <w:fldChar w:fldCharType="end"/>
      </w:r>
    </w:p>
    <w:p w14:paraId="6D7D3937">
      <w:pPr>
        <w:pStyle w:val="21"/>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_Toc26372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lang w:val="en-US" w:eastAsia="zh-CN"/>
        </w:rPr>
        <w:t>二、</w:t>
      </w:r>
      <w:r>
        <w:rPr>
          <w:rFonts w:hint="eastAsia" w:ascii="宋体" w:hAnsi="宋体" w:eastAsia="宋体" w:cs="宋体"/>
          <w:highlight w:val="none"/>
        </w:rPr>
        <w:t>评分细则</w:t>
      </w:r>
      <w:r>
        <w:tab/>
      </w:r>
      <w:r>
        <w:fldChar w:fldCharType="begin"/>
      </w:r>
      <w:r>
        <w:instrText xml:space="preserve"> PAGEREF _Toc26372 \h </w:instrText>
      </w:r>
      <w:r>
        <w:fldChar w:fldCharType="separate"/>
      </w:r>
      <w:r>
        <w:t>8</w:t>
      </w:r>
      <w:r>
        <w:fldChar w:fldCharType="end"/>
      </w:r>
      <w:r>
        <w:rPr>
          <w:rFonts w:hint="eastAsia" w:ascii="宋体" w:hAnsi="宋体" w:eastAsia="宋体" w:cs="宋体"/>
          <w:bCs/>
          <w:color w:val="auto"/>
          <w:szCs w:val="28"/>
          <w:highlight w:val="none"/>
          <w:lang w:val="zh-CN"/>
        </w:rPr>
        <w:fldChar w:fldCharType="end"/>
      </w:r>
    </w:p>
    <w:p w14:paraId="22AE5A14">
      <w:pPr>
        <w:pStyle w:val="21"/>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_Toc19216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rPr>
        <w:t>三、初步审查属于无效报价的条款</w:t>
      </w:r>
      <w:r>
        <w:tab/>
      </w:r>
      <w:r>
        <w:fldChar w:fldCharType="begin"/>
      </w:r>
      <w:r>
        <w:instrText xml:space="preserve"> PAGEREF _Toc19216 \h </w:instrText>
      </w:r>
      <w:r>
        <w:fldChar w:fldCharType="separate"/>
      </w:r>
      <w:r>
        <w:t>9</w:t>
      </w:r>
      <w:r>
        <w:fldChar w:fldCharType="end"/>
      </w:r>
      <w:r>
        <w:rPr>
          <w:rFonts w:hint="eastAsia" w:ascii="宋体" w:hAnsi="宋体" w:eastAsia="宋体" w:cs="宋体"/>
          <w:bCs/>
          <w:color w:val="auto"/>
          <w:szCs w:val="28"/>
          <w:highlight w:val="none"/>
          <w:lang w:val="zh-CN"/>
        </w:rPr>
        <w:fldChar w:fldCharType="end"/>
      </w:r>
    </w:p>
    <w:p w14:paraId="7AE41299">
      <w:pPr>
        <w:pStyle w:val="19"/>
        <w:tabs>
          <w:tab w:val="right" w:leader="dot" w:pos="9638"/>
        </w:tabs>
      </w:pPr>
      <w:r>
        <w:rPr>
          <w:rFonts w:hint="eastAsia" w:ascii="宋体" w:hAnsi="宋体" w:eastAsia="宋体" w:cs="宋体"/>
          <w:bCs/>
          <w:color w:val="auto"/>
          <w:szCs w:val="28"/>
          <w:highlight w:val="none"/>
          <w:lang w:val="zh-CN"/>
        </w:rPr>
        <w:fldChar w:fldCharType="begin"/>
      </w:r>
      <w:r>
        <w:rPr>
          <w:rFonts w:hint="eastAsia" w:ascii="宋体" w:hAnsi="宋体" w:eastAsia="宋体" w:cs="宋体"/>
          <w:bCs/>
          <w:szCs w:val="28"/>
          <w:highlight w:val="none"/>
          <w:lang w:val="zh-CN"/>
        </w:rPr>
        <w:instrText xml:space="preserve"> HYPERLINK \l _Toc31619 </w:instrText>
      </w:r>
      <w:r>
        <w:rPr>
          <w:rFonts w:hint="eastAsia" w:ascii="宋体" w:hAnsi="宋体" w:eastAsia="宋体" w:cs="宋体"/>
          <w:bCs/>
          <w:szCs w:val="28"/>
          <w:highlight w:val="none"/>
          <w:lang w:val="zh-CN"/>
        </w:rPr>
        <w:fldChar w:fldCharType="separate"/>
      </w:r>
      <w:r>
        <w:rPr>
          <w:rFonts w:hint="eastAsia" w:ascii="宋体" w:hAnsi="宋体" w:eastAsia="宋体" w:cs="宋体"/>
          <w:highlight w:val="none"/>
          <w:lang w:val="en-US" w:eastAsia="zh-CN"/>
        </w:rPr>
        <w:t xml:space="preserve">第八部分  </w:t>
      </w:r>
      <w:r>
        <w:rPr>
          <w:rFonts w:hint="eastAsia" w:ascii="宋体" w:hAnsi="宋体" w:eastAsia="宋体" w:cs="宋体"/>
          <w:highlight w:val="none"/>
        </w:rPr>
        <w:t>技术要求及说明</w:t>
      </w:r>
      <w:r>
        <w:tab/>
      </w:r>
      <w:r>
        <w:fldChar w:fldCharType="begin"/>
      </w:r>
      <w:r>
        <w:instrText xml:space="preserve"> PAGEREF _Toc31619 \h </w:instrText>
      </w:r>
      <w:r>
        <w:fldChar w:fldCharType="separate"/>
      </w:r>
      <w:r>
        <w:t>10</w:t>
      </w:r>
      <w:r>
        <w:fldChar w:fldCharType="end"/>
      </w:r>
      <w:r>
        <w:rPr>
          <w:rFonts w:hint="eastAsia" w:ascii="宋体" w:hAnsi="宋体" w:eastAsia="宋体" w:cs="宋体"/>
          <w:bCs/>
          <w:color w:val="auto"/>
          <w:szCs w:val="28"/>
          <w:highlight w:val="none"/>
          <w:lang w:val="zh-CN"/>
        </w:rPr>
        <w:fldChar w:fldCharType="end"/>
      </w:r>
    </w:p>
    <w:p w14:paraId="6ADEA250">
      <w:pPr>
        <w:ind w:firstLine="562"/>
        <w:rPr>
          <w:rFonts w:ascii="宋体" w:hAnsi="宋体" w:eastAsia="宋体" w:cs="宋体"/>
          <w:b/>
          <w:bCs/>
          <w:color w:val="auto"/>
          <w:sz w:val="28"/>
          <w:szCs w:val="28"/>
          <w:highlight w:val="none"/>
          <w:lang w:val="zh-CN"/>
        </w:rPr>
      </w:pPr>
      <w:r>
        <w:rPr>
          <w:rFonts w:hint="eastAsia" w:ascii="宋体" w:hAnsi="宋体" w:eastAsia="宋体" w:cs="宋体"/>
          <w:bCs/>
          <w:color w:val="auto"/>
          <w:szCs w:val="28"/>
          <w:highlight w:val="none"/>
          <w:lang w:val="zh-CN"/>
        </w:rPr>
        <w:fldChar w:fldCharType="end"/>
      </w:r>
    </w:p>
    <w:p w14:paraId="46F76C9E">
      <w:pPr>
        <w:ind w:firstLine="482"/>
        <w:rPr>
          <w:rFonts w:ascii="宋体" w:hAnsi="宋体" w:eastAsia="宋体" w:cs="宋体"/>
          <w:b/>
          <w:bCs/>
          <w:color w:val="auto"/>
          <w:highlight w:val="none"/>
          <w:lang w:val="zh-CN"/>
        </w:rPr>
      </w:pPr>
    </w:p>
    <w:p w14:paraId="214BDB4C">
      <w:pPr>
        <w:ind w:firstLine="482"/>
        <w:rPr>
          <w:rFonts w:ascii="宋体" w:hAnsi="宋体" w:eastAsia="宋体" w:cs="宋体"/>
          <w:b/>
          <w:bCs/>
          <w:color w:val="auto"/>
          <w:highlight w:val="none"/>
          <w:lang w:val="zh-CN"/>
        </w:rPr>
      </w:pPr>
    </w:p>
    <w:p w14:paraId="1DD069B0">
      <w:pPr>
        <w:ind w:firstLine="482"/>
        <w:rPr>
          <w:rFonts w:ascii="宋体" w:hAnsi="宋体" w:eastAsia="宋体" w:cs="宋体"/>
          <w:b/>
          <w:bCs/>
          <w:color w:val="auto"/>
          <w:highlight w:val="none"/>
          <w:lang w:val="zh-CN"/>
        </w:rPr>
      </w:pPr>
    </w:p>
    <w:p w14:paraId="6EE1D518">
      <w:pPr>
        <w:ind w:firstLine="482"/>
        <w:rPr>
          <w:rFonts w:ascii="宋体" w:hAnsi="宋体" w:eastAsia="宋体" w:cs="宋体"/>
          <w:b/>
          <w:bCs/>
          <w:color w:val="auto"/>
          <w:highlight w:val="none"/>
          <w:lang w:val="zh-CN"/>
        </w:rPr>
      </w:pPr>
    </w:p>
    <w:p w14:paraId="3CE21993">
      <w:pPr>
        <w:ind w:firstLine="482"/>
        <w:rPr>
          <w:rFonts w:ascii="宋体" w:hAnsi="宋体" w:eastAsia="宋体" w:cs="宋体"/>
          <w:b/>
          <w:bCs/>
          <w:color w:val="auto"/>
          <w:highlight w:val="none"/>
          <w:lang w:val="zh-CN"/>
        </w:rPr>
      </w:pPr>
    </w:p>
    <w:p w14:paraId="1B3B170A">
      <w:pPr>
        <w:ind w:firstLine="482"/>
        <w:rPr>
          <w:rFonts w:ascii="宋体" w:hAnsi="宋体" w:eastAsia="宋体" w:cs="宋体"/>
          <w:b/>
          <w:bCs/>
          <w:color w:val="auto"/>
          <w:highlight w:val="none"/>
          <w:lang w:val="zh-CN"/>
        </w:rPr>
      </w:pPr>
    </w:p>
    <w:p w14:paraId="42981A18">
      <w:pPr>
        <w:ind w:firstLine="482"/>
        <w:rPr>
          <w:rFonts w:ascii="宋体" w:hAnsi="宋体" w:eastAsia="宋体" w:cs="宋体"/>
          <w:b/>
          <w:bCs/>
          <w:color w:val="auto"/>
          <w:highlight w:val="none"/>
          <w:lang w:val="zh-CN"/>
        </w:rPr>
      </w:pPr>
    </w:p>
    <w:p w14:paraId="039DA275">
      <w:pPr>
        <w:ind w:firstLine="482"/>
        <w:rPr>
          <w:rFonts w:ascii="宋体" w:hAnsi="宋体" w:eastAsia="宋体" w:cs="宋体"/>
          <w:b/>
          <w:bCs/>
          <w:color w:val="auto"/>
          <w:highlight w:val="none"/>
          <w:lang w:val="zh-CN"/>
        </w:rPr>
      </w:pPr>
    </w:p>
    <w:p w14:paraId="328CE7E3">
      <w:pPr>
        <w:pStyle w:val="2"/>
        <w:ind w:firstLine="723"/>
        <w:rPr>
          <w:rFonts w:hint="eastAsia" w:ascii="宋体" w:hAnsi="宋体" w:eastAsia="宋体" w:cs="宋体"/>
          <w:color w:val="auto"/>
          <w:highlight w:val="none"/>
        </w:rPr>
        <w:sectPr>
          <w:headerReference r:id="rId11" w:type="default"/>
          <w:footerReference r:id="rId12" w:type="default"/>
          <w:pgSz w:w="11906" w:h="16838"/>
          <w:pgMar w:top="1134" w:right="1134" w:bottom="1134" w:left="1134" w:header="567" w:footer="992" w:gutter="0"/>
          <w:pgBorders>
            <w:top w:val="none" w:sz="0" w:space="0"/>
            <w:left w:val="none" w:sz="0" w:space="0"/>
            <w:bottom w:val="none" w:sz="0" w:space="0"/>
            <w:right w:val="none" w:sz="0" w:space="0"/>
          </w:pgBorders>
          <w:cols w:space="425" w:num="1"/>
          <w:docGrid w:linePitch="326" w:charSpace="0"/>
        </w:sectPr>
      </w:pPr>
      <w:bookmarkStart w:id="1" w:name="_Toc511405226"/>
    </w:p>
    <w:bookmarkEnd w:id="1"/>
    <w:p w14:paraId="18DEF2BC">
      <w:pPr>
        <w:pStyle w:val="2"/>
        <w:numPr>
          <w:ilvl w:val="0"/>
          <w:numId w:val="0"/>
        </w:numPr>
        <w:jc w:val="center"/>
        <w:rPr>
          <w:rFonts w:hint="eastAsia" w:ascii="宋体" w:hAnsi="宋体" w:eastAsia="宋体" w:cs="宋体"/>
          <w:color w:val="auto"/>
          <w:highlight w:val="none"/>
          <w:lang w:val="en-US" w:eastAsia="zh-CN"/>
        </w:rPr>
      </w:pPr>
      <w:bookmarkStart w:id="2" w:name="_Toc11256"/>
      <w:r>
        <w:rPr>
          <w:rFonts w:hint="eastAsia" w:ascii="宋体" w:hAnsi="宋体" w:eastAsia="宋体" w:cs="宋体"/>
          <w:color w:val="auto"/>
          <w:highlight w:val="none"/>
          <w:lang w:val="en-US" w:eastAsia="zh-CN"/>
        </w:rPr>
        <w:t>第五部分  竞争性磋商公告</w:t>
      </w:r>
      <w:bookmarkEnd w:id="2"/>
    </w:p>
    <w:p w14:paraId="41ACD54A">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项目概况</w:t>
      </w:r>
    </w:p>
    <w:p w14:paraId="350AD1C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FF0000"/>
          <w:sz w:val="24"/>
          <w:szCs w:val="24"/>
          <w:highlight w:val="none"/>
        </w:rPr>
      </w:pPr>
      <w:r>
        <w:rPr>
          <w:rFonts w:hint="eastAsia" w:ascii="宋体" w:hAnsi="宋体" w:eastAsia="宋体" w:cs="宋体"/>
          <w:i w:val="0"/>
          <w:iCs w:val="0"/>
          <w:color w:val="auto"/>
          <w:sz w:val="24"/>
          <w:szCs w:val="24"/>
          <w:highlight w:val="none"/>
          <w:u w:val="none"/>
        </w:rPr>
        <w:t xml:space="preserve"> </w:t>
      </w:r>
      <w:r>
        <w:rPr>
          <w:rFonts w:hint="eastAsia" w:ascii="宋体" w:hAnsi="宋体" w:eastAsia="宋体" w:cs="宋体"/>
          <w:i w:val="0"/>
          <w:iCs w:val="0"/>
          <w:color w:val="auto"/>
          <w:sz w:val="24"/>
          <w:szCs w:val="24"/>
          <w:highlight w:val="none"/>
          <w:u w:val="none"/>
          <w:lang w:eastAsia="zh-CN"/>
        </w:rPr>
        <w:t>泰山学院体育学院运动生理实验室（运动负荷实验测试系统)采购项目（61022）</w:t>
      </w:r>
      <w:r>
        <w:rPr>
          <w:rFonts w:hint="eastAsia" w:ascii="宋体" w:hAnsi="宋体" w:eastAsia="宋体" w:cs="宋体"/>
          <w:i w:val="0"/>
          <w:iCs w:val="0"/>
          <w:color w:val="auto"/>
          <w:sz w:val="24"/>
          <w:szCs w:val="24"/>
          <w:highlight w:val="none"/>
        </w:rPr>
        <w:t>采购项目的潜在供应商应在</w:t>
      </w:r>
      <w:r>
        <w:rPr>
          <w:rFonts w:hint="eastAsia" w:ascii="宋体" w:hAnsi="宋体" w:eastAsia="宋体" w:cs="宋体"/>
          <w:i w:val="0"/>
          <w:iCs w:val="0"/>
          <w:color w:val="auto"/>
          <w:sz w:val="24"/>
          <w:szCs w:val="24"/>
          <w:highlight w:val="none"/>
          <w:u w:val="single"/>
        </w:rPr>
        <w:t>山东省济南市市中区二环南路6636号中海广场8楼805</w:t>
      </w:r>
      <w:r>
        <w:rPr>
          <w:rFonts w:hint="eastAsia" w:ascii="宋体" w:hAnsi="宋体" w:eastAsia="宋体" w:cs="宋体"/>
          <w:i w:val="0"/>
          <w:iCs w:val="0"/>
          <w:color w:val="auto"/>
          <w:sz w:val="24"/>
          <w:szCs w:val="24"/>
          <w:highlight w:val="none"/>
        </w:rPr>
        <w:t>获取采购文件，并于</w:t>
      </w:r>
      <w:r>
        <w:rPr>
          <w:rFonts w:hint="eastAsia" w:ascii="宋体" w:hAnsi="宋体" w:eastAsia="宋体" w:cs="宋体"/>
          <w:i w:val="0"/>
          <w:iCs w:val="0"/>
          <w:color w:val="FF0000"/>
          <w:sz w:val="24"/>
          <w:szCs w:val="24"/>
          <w:highlight w:val="none"/>
          <w:u w:val="single"/>
          <w:lang w:val="en-US" w:eastAsia="zh-CN"/>
        </w:rPr>
        <w:t>2025</w:t>
      </w:r>
      <w:r>
        <w:rPr>
          <w:rFonts w:hint="eastAsia" w:ascii="宋体" w:hAnsi="宋体" w:eastAsia="宋体" w:cs="宋体"/>
          <w:bCs/>
          <w:i w:val="0"/>
          <w:iCs w:val="0"/>
          <w:color w:val="FF0000"/>
          <w:sz w:val="24"/>
          <w:szCs w:val="24"/>
          <w:highlight w:val="none"/>
          <w:u w:val="single"/>
        </w:rPr>
        <w:t>年</w:t>
      </w:r>
      <w:r>
        <w:rPr>
          <w:rFonts w:hint="eastAsia" w:ascii="宋体" w:hAnsi="宋体" w:eastAsia="宋体" w:cs="宋体"/>
          <w:bCs/>
          <w:i w:val="0"/>
          <w:iCs w:val="0"/>
          <w:color w:val="FF0000"/>
          <w:sz w:val="24"/>
          <w:szCs w:val="24"/>
          <w:highlight w:val="none"/>
          <w:u w:val="single"/>
          <w:lang w:val="en-US" w:eastAsia="zh-CN"/>
        </w:rPr>
        <w:t>9月15日9</w:t>
      </w:r>
      <w:r>
        <w:rPr>
          <w:rFonts w:hint="eastAsia" w:ascii="宋体" w:hAnsi="宋体" w:eastAsia="宋体" w:cs="宋体"/>
          <w:bCs/>
          <w:i w:val="0"/>
          <w:iCs w:val="0"/>
          <w:color w:val="FF0000"/>
          <w:sz w:val="24"/>
          <w:szCs w:val="24"/>
          <w:highlight w:val="none"/>
          <w:u w:val="single"/>
        </w:rPr>
        <w:t>点</w:t>
      </w:r>
      <w:r>
        <w:rPr>
          <w:rFonts w:hint="eastAsia" w:ascii="宋体" w:hAnsi="宋体" w:eastAsia="宋体" w:cs="宋体"/>
          <w:bCs/>
          <w:i w:val="0"/>
          <w:iCs w:val="0"/>
          <w:color w:val="FF0000"/>
          <w:sz w:val="24"/>
          <w:szCs w:val="24"/>
          <w:highlight w:val="none"/>
          <w:u w:val="single"/>
          <w:lang w:val="en-US" w:eastAsia="zh-CN"/>
        </w:rPr>
        <w:t>00</w:t>
      </w:r>
      <w:r>
        <w:rPr>
          <w:rFonts w:hint="eastAsia" w:ascii="宋体" w:hAnsi="宋体" w:eastAsia="宋体" w:cs="宋体"/>
          <w:bCs/>
          <w:i w:val="0"/>
          <w:iCs w:val="0"/>
          <w:color w:val="FF0000"/>
          <w:sz w:val="24"/>
          <w:szCs w:val="24"/>
          <w:highlight w:val="none"/>
          <w:u w:val="single"/>
        </w:rPr>
        <w:t>分</w:t>
      </w:r>
      <w:r>
        <w:rPr>
          <w:rFonts w:hint="eastAsia" w:ascii="宋体" w:hAnsi="宋体" w:eastAsia="宋体" w:cs="宋体"/>
          <w:bCs/>
          <w:i w:val="0"/>
          <w:iCs w:val="0"/>
          <w:color w:val="FF0000"/>
          <w:sz w:val="24"/>
          <w:szCs w:val="24"/>
          <w:highlight w:val="none"/>
        </w:rPr>
        <w:t>（北京时间）前提交响应文件</w:t>
      </w:r>
      <w:r>
        <w:rPr>
          <w:rFonts w:hint="eastAsia" w:ascii="宋体" w:hAnsi="宋体" w:eastAsia="宋体" w:cs="宋体"/>
          <w:i w:val="0"/>
          <w:iCs w:val="0"/>
          <w:color w:val="FF0000"/>
          <w:sz w:val="24"/>
          <w:szCs w:val="24"/>
          <w:highlight w:val="none"/>
        </w:rPr>
        <w:t>。</w:t>
      </w:r>
    </w:p>
    <w:p w14:paraId="3D140F76">
      <w:pPr>
        <w:bidi w:val="0"/>
        <w:rPr>
          <w:rFonts w:hint="eastAsia" w:ascii="宋体" w:hAnsi="宋体" w:eastAsia="宋体" w:cs="宋体"/>
          <w:b/>
          <w:bCs/>
          <w:color w:val="auto"/>
          <w:highlight w:val="none"/>
          <w:lang w:eastAsia="zh-CN"/>
        </w:rPr>
      </w:pPr>
      <w:bookmarkStart w:id="3" w:name="_Toc28359012"/>
      <w:bookmarkStart w:id="4" w:name="_Toc3583"/>
      <w:bookmarkStart w:id="5" w:name="_Toc28359089"/>
      <w:bookmarkStart w:id="6" w:name="_Toc23207"/>
      <w:bookmarkStart w:id="7" w:name="_Toc35393798"/>
      <w:bookmarkStart w:id="8" w:name="_Toc35393629"/>
      <w:r>
        <w:rPr>
          <w:rFonts w:hint="eastAsia" w:ascii="宋体" w:hAnsi="宋体" w:eastAsia="宋体" w:cs="宋体"/>
          <w:b/>
          <w:bCs/>
          <w:color w:val="auto"/>
          <w:highlight w:val="none"/>
        </w:rPr>
        <w:t>一、项目基本情况</w:t>
      </w:r>
      <w:bookmarkEnd w:id="3"/>
      <w:bookmarkEnd w:id="4"/>
      <w:bookmarkEnd w:id="5"/>
      <w:bookmarkEnd w:id="6"/>
      <w:bookmarkEnd w:id="7"/>
      <w:bookmarkEnd w:id="8"/>
      <w:r>
        <w:rPr>
          <w:rFonts w:hint="eastAsia" w:ascii="宋体" w:hAnsi="宋体" w:eastAsia="宋体" w:cs="宋体"/>
          <w:b/>
          <w:bCs/>
          <w:color w:val="auto"/>
          <w:highlight w:val="none"/>
          <w:lang w:eastAsia="zh-CN"/>
        </w:rPr>
        <w:t>：</w:t>
      </w:r>
    </w:p>
    <w:p w14:paraId="4ECA7AA1">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FF0000"/>
          <w:sz w:val="24"/>
          <w:szCs w:val="24"/>
          <w:highlight w:val="none"/>
          <w:u w:val="none"/>
          <w:lang w:eastAsia="zh-CN"/>
        </w:rPr>
        <w:t>SDGP370000000202502007204</w:t>
      </w:r>
    </w:p>
    <w:p w14:paraId="2DDDAE87">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lang w:eastAsia="zh-CN"/>
        </w:rPr>
        <w:t>泰山学院体育学院运动生理实验室（运动负荷实验测试系统)采购项目（61022）</w:t>
      </w:r>
    </w:p>
    <w:p w14:paraId="0308869F">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采购方式：竞争性磋商</w:t>
      </w:r>
    </w:p>
    <w:p w14:paraId="32BDE1A2">
      <w:pPr>
        <w:spacing w:line="360" w:lineRule="auto"/>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u w:val="single"/>
          <w:lang w:val="en-US" w:eastAsia="zh-CN"/>
        </w:rPr>
        <w:t>9.90万元</w:t>
      </w:r>
    </w:p>
    <w:p w14:paraId="797E8B2B">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color w:val="auto"/>
          <w:sz w:val="24"/>
          <w:szCs w:val="24"/>
          <w:highlight w:val="none"/>
          <w:u w:val="single"/>
        </w:rPr>
        <w:t>包括但不限于标的的名称、数量、简要技术需求或服务要求等</w:t>
      </w:r>
      <w:r>
        <w:rPr>
          <w:rFonts w:hint="eastAsia" w:ascii="宋体" w:hAnsi="宋体" w:eastAsia="宋体" w:cs="宋体"/>
          <w:i w:val="0"/>
          <w:iCs w:val="0"/>
          <w:color w:val="auto"/>
          <w:sz w:val="24"/>
          <w:szCs w:val="24"/>
          <w:highlight w:val="none"/>
        </w:rPr>
        <w:t>）</w:t>
      </w:r>
    </w:p>
    <w:tbl>
      <w:tblPr>
        <w:tblStyle w:val="29"/>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464"/>
        <w:gridCol w:w="1391"/>
        <w:gridCol w:w="2328"/>
        <w:gridCol w:w="2209"/>
      </w:tblGrid>
      <w:tr w14:paraId="18BE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0" w:type="dxa"/>
            <w:vAlign w:val="center"/>
          </w:tcPr>
          <w:p w14:paraId="15180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包号</w:t>
            </w:r>
          </w:p>
        </w:tc>
        <w:tc>
          <w:tcPr>
            <w:tcW w:w="3464" w:type="dxa"/>
            <w:vAlign w:val="center"/>
          </w:tcPr>
          <w:p w14:paraId="08195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标的名称</w:t>
            </w:r>
          </w:p>
        </w:tc>
        <w:tc>
          <w:tcPr>
            <w:tcW w:w="1391" w:type="dxa"/>
            <w:vAlign w:val="center"/>
          </w:tcPr>
          <w:p w14:paraId="126BCC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2328" w:type="dxa"/>
            <w:vAlign w:val="center"/>
          </w:tcPr>
          <w:p w14:paraId="40C51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简要技术需求或服务要求</w:t>
            </w:r>
          </w:p>
        </w:tc>
        <w:tc>
          <w:tcPr>
            <w:tcW w:w="2209" w:type="dxa"/>
            <w:vAlign w:val="center"/>
          </w:tcPr>
          <w:p w14:paraId="149A30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本包预算金额</w:t>
            </w:r>
          </w:p>
          <w:p w14:paraId="08D21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（单位：万元）</w:t>
            </w:r>
          </w:p>
        </w:tc>
      </w:tr>
      <w:tr w14:paraId="52DD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0" w:type="dxa"/>
            <w:vAlign w:val="center"/>
          </w:tcPr>
          <w:p w14:paraId="0F1D09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bookmarkStart w:id="9" w:name="OLE_LINK5" w:colFirst="0" w:colLast="1"/>
            <w:bookmarkStart w:id="10" w:name="OLE_LINK6" w:colFirst="1" w:colLast="4"/>
            <w:r>
              <w:rPr>
                <w:rFonts w:hint="eastAsia" w:ascii="宋体" w:hAnsi="宋体" w:eastAsia="宋体" w:cs="宋体"/>
                <w:i w:val="0"/>
                <w:iCs w:val="0"/>
                <w:color w:val="auto"/>
                <w:sz w:val="24"/>
                <w:szCs w:val="24"/>
                <w:highlight w:val="none"/>
                <w:vertAlign w:val="baseline"/>
                <w:lang w:val="en-US" w:eastAsia="zh-CN"/>
              </w:rPr>
              <w:t>1</w:t>
            </w:r>
          </w:p>
        </w:tc>
        <w:tc>
          <w:tcPr>
            <w:tcW w:w="3464" w:type="dxa"/>
            <w:vAlign w:val="center"/>
          </w:tcPr>
          <w:p w14:paraId="6D8E0D8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体育学院实验器材</w:t>
            </w:r>
          </w:p>
        </w:tc>
        <w:tc>
          <w:tcPr>
            <w:tcW w:w="1391" w:type="dxa"/>
            <w:vAlign w:val="center"/>
          </w:tcPr>
          <w:p w14:paraId="4E36F2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1</w:t>
            </w:r>
          </w:p>
        </w:tc>
        <w:tc>
          <w:tcPr>
            <w:tcW w:w="2328" w:type="dxa"/>
            <w:vAlign w:val="center"/>
          </w:tcPr>
          <w:p w14:paraId="202902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bookmarkStart w:id="11" w:name="OLE_LINK2"/>
            <w:r>
              <w:rPr>
                <w:rFonts w:hint="eastAsia" w:ascii="宋体" w:hAnsi="宋体" w:eastAsia="宋体" w:cs="宋体"/>
                <w:i w:val="0"/>
                <w:iCs w:val="0"/>
                <w:color w:val="auto"/>
                <w:sz w:val="24"/>
                <w:szCs w:val="24"/>
                <w:highlight w:val="none"/>
                <w:vertAlign w:val="baseline"/>
                <w:lang w:val="en-US" w:eastAsia="zh-CN"/>
              </w:rPr>
              <w:t>详见本册文件</w:t>
            </w:r>
            <w:bookmarkEnd w:id="11"/>
          </w:p>
        </w:tc>
        <w:tc>
          <w:tcPr>
            <w:tcW w:w="2209" w:type="dxa"/>
            <w:vAlign w:val="center"/>
          </w:tcPr>
          <w:p w14:paraId="063C291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tr w14:paraId="4CBA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64" w:type="dxa"/>
            <w:gridSpan w:val="2"/>
            <w:vAlign w:val="center"/>
          </w:tcPr>
          <w:p w14:paraId="09053BD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总价</w:t>
            </w:r>
          </w:p>
        </w:tc>
        <w:tc>
          <w:tcPr>
            <w:tcW w:w="3719" w:type="dxa"/>
            <w:gridSpan w:val="2"/>
            <w:vAlign w:val="center"/>
          </w:tcPr>
          <w:p w14:paraId="5D64E6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p>
        </w:tc>
        <w:tc>
          <w:tcPr>
            <w:tcW w:w="2209" w:type="dxa"/>
            <w:vAlign w:val="center"/>
          </w:tcPr>
          <w:p w14:paraId="0DDFB945">
            <w:pPr>
              <w:keepNext w:val="0"/>
              <w:keepLines w:val="0"/>
              <w:pageBreakBefore w:val="0"/>
              <w:widowControl w:val="0"/>
              <w:tabs>
                <w:tab w:val="left" w:pos="352"/>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bookmarkEnd w:id="9"/>
      <w:bookmarkEnd w:id="10"/>
    </w:tbl>
    <w:p w14:paraId="69B683A4">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合同履行期限：详见磋商文件</w:t>
      </w:r>
    </w:p>
    <w:p w14:paraId="38A2586A">
      <w:pPr>
        <w:spacing w:line="360" w:lineRule="auto"/>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本项目（是/否）接受联合体</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lang w:val="en-US" w:eastAsia="zh-CN"/>
        </w:rPr>
        <w:t>否</w:t>
      </w:r>
    </w:p>
    <w:p w14:paraId="6FC2344E">
      <w:pPr>
        <w:bidi w:val="0"/>
        <w:rPr>
          <w:rFonts w:hint="eastAsia" w:ascii="宋体" w:hAnsi="宋体" w:eastAsia="宋体" w:cs="宋体"/>
          <w:b/>
          <w:bCs/>
          <w:color w:val="auto"/>
          <w:highlight w:val="none"/>
        </w:rPr>
      </w:pPr>
      <w:bookmarkStart w:id="12" w:name="_Toc35393799"/>
      <w:bookmarkStart w:id="13" w:name="_Toc35393630"/>
      <w:bookmarkStart w:id="14" w:name="_Toc28359090"/>
      <w:bookmarkStart w:id="15" w:name="_Toc28359013"/>
      <w:bookmarkStart w:id="16" w:name="_Toc6396"/>
      <w:bookmarkStart w:id="17" w:name="_Toc31489"/>
      <w:r>
        <w:rPr>
          <w:rFonts w:hint="eastAsia" w:ascii="宋体" w:hAnsi="宋体" w:eastAsia="宋体" w:cs="宋体"/>
          <w:b/>
          <w:bCs/>
          <w:color w:val="auto"/>
          <w:highlight w:val="none"/>
        </w:rPr>
        <w:t>二、申请人的资格要求：</w:t>
      </w:r>
      <w:bookmarkEnd w:id="12"/>
      <w:bookmarkEnd w:id="13"/>
      <w:bookmarkEnd w:id="14"/>
      <w:bookmarkEnd w:id="15"/>
      <w:bookmarkEnd w:id="16"/>
      <w:bookmarkEnd w:id="17"/>
    </w:p>
    <w:p w14:paraId="450B8088">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1.满足《中华人民共和国政府采购法》第二十二条规定；</w:t>
      </w:r>
    </w:p>
    <w:p w14:paraId="53B213CA">
      <w:pPr>
        <w:spacing w:line="360" w:lineRule="auto"/>
        <w:ind w:firstLine="480" w:firstLineChars="200"/>
        <w:rPr>
          <w:rFonts w:hint="eastAsia" w:ascii="宋体" w:hAnsi="宋体" w:eastAsia="宋体" w:cs="宋体"/>
          <w:i w:val="0"/>
          <w:iCs w:val="0"/>
          <w:color w:val="auto"/>
          <w:sz w:val="24"/>
          <w:szCs w:val="24"/>
          <w:highlight w:val="none"/>
          <w:u w:val="single"/>
          <w:lang w:eastAsia="zh-CN"/>
        </w:rPr>
      </w:pPr>
      <w:bookmarkStart w:id="18" w:name="_Toc28359014"/>
      <w:bookmarkStart w:id="19" w:name="_Toc28359091"/>
      <w:r>
        <w:rPr>
          <w:rFonts w:hint="eastAsia" w:ascii="宋体" w:hAnsi="宋体" w:eastAsia="宋体" w:cs="宋体"/>
          <w:i w:val="0"/>
          <w:iCs w:val="0"/>
          <w:color w:val="auto"/>
          <w:sz w:val="24"/>
          <w:szCs w:val="24"/>
          <w:highlight w:val="none"/>
        </w:rPr>
        <w:t>2.落实政府采购政策需满足的资格要求：</w:t>
      </w:r>
      <w:r>
        <w:rPr>
          <w:rFonts w:hint="eastAsia" w:ascii="宋体" w:hAnsi="宋体" w:eastAsia="宋体" w:cs="宋体"/>
          <w:i w:val="0"/>
          <w:iCs w:val="0"/>
          <w:color w:val="auto"/>
          <w:sz w:val="24"/>
          <w:szCs w:val="24"/>
          <w:highlight w:val="none"/>
          <w:u w:val="single"/>
        </w:rPr>
        <w:t>（一）中小微型企业政府采购政策</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（二）监狱企业政府采购政策</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（三）促进残疾人就业政府采购政策</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（四）节能、环保产品政府采购政策</w:t>
      </w:r>
      <w:r>
        <w:rPr>
          <w:rFonts w:hint="eastAsia" w:ascii="宋体" w:hAnsi="宋体" w:eastAsia="宋体" w:cs="宋体"/>
          <w:i w:val="0"/>
          <w:iCs w:val="0"/>
          <w:color w:val="auto"/>
          <w:sz w:val="24"/>
          <w:szCs w:val="24"/>
          <w:highlight w:val="none"/>
          <w:u w:val="single"/>
          <w:lang w:val="en-US" w:eastAsia="zh-CN"/>
        </w:rPr>
        <w:t>等</w:t>
      </w:r>
      <w:r>
        <w:rPr>
          <w:rFonts w:hint="eastAsia" w:ascii="宋体" w:hAnsi="宋体" w:eastAsia="宋体" w:cs="宋体"/>
          <w:i w:val="0"/>
          <w:iCs w:val="0"/>
          <w:color w:val="auto"/>
          <w:sz w:val="24"/>
          <w:szCs w:val="24"/>
          <w:highlight w:val="none"/>
          <w:u w:val="single"/>
          <w:lang w:eastAsia="zh-CN"/>
        </w:rPr>
        <w:t>；</w:t>
      </w:r>
    </w:p>
    <w:p w14:paraId="327F884A">
      <w:pPr>
        <w:spacing w:line="360" w:lineRule="auto"/>
        <w:ind w:firstLine="480" w:firstLineChars="2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3.本项目的特定资格要求：</w:t>
      </w:r>
      <w:r>
        <w:rPr>
          <w:rFonts w:hint="eastAsia" w:ascii="宋体" w:hAnsi="宋体" w:eastAsia="宋体" w:cs="宋体"/>
          <w:color w:val="auto"/>
          <w:highlight w:val="none"/>
          <w:u w:val="single"/>
          <w:lang w:val="en-GB"/>
        </w:rPr>
        <w:t>在“信用中国”（www.creditchina.gov.cn）、“中国政府采购网”（www.ccgp.gov.cn）中被列入失信被执行人、</w:t>
      </w:r>
      <w:r>
        <w:rPr>
          <w:rFonts w:hint="eastAsia" w:ascii="宋体" w:hAnsi="宋体" w:eastAsia="宋体" w:cs="宋体"/>
          <w:color w:val="auto"/>
          <w:highlight w:val="none"/>
          <w:u w:val="single"/>
          <w:lang w:val="en-GB" w:eastAsia="zh-CN"/>
        </w:rPr>
        <w:t>重大税收违法失信主体</w:t>
      </w:r>
      <w:r>
        <w:rPr>
          <w:rFonts w:hint="eastAsia" w:ascii="宋体" w:hAnsi="宋体" w:eastAsia="宋体" w:cs="宋体"/>
          <w:color w:val="auto"/>
          <w:highlight w:val="none"/>
          <w:u w:val="single"/>
          <w:lang w:val="en-GB"/>
        </w:rPr>
        <w:t>、政府采购严重违法失信行为记录名单的供应商，不得参加本次政府采购活动。</w:t>
      </w:r>
    </w:p>
    <w:p w14:paraId="1B054146">
      <w:pPr>
        <w:bidi w:val="0"/>
        <w:rPr>
          <w:rFonts w:hint="eastAsia" w:ascii="宋体" w:hAnsi="宋体" w:eastAsia="宋体" w:cs="宋体"/>
          <w:b/>
          <w:bCs/>
          <w:color w:val="auto"/>
          <w:highlight w:val="none"/>
          <w:lang w:eastAsia="zh-CN"/>
        </w:rPr>
      </w:pPr>
      <w:bookmarkStart w:id="20" w:name="_Toc19804"/>
      <w:bookmarkStart w:id="21" w:name="_Toc35393800"/>
      <w:bookmarkStart w:id="22" w:name="_Toc35393631"/>
      <w:bookmarkStart w:id="23" w:name="_Toc12662"/>
      <w:r>
        <w:rPr>
          <w:rFonts w:hint="eastAsia" w:ascii="宋体" w:hAnsi="宋体" w:eastAsia="宋体" w:cs="宋体"/>
          <w:b/>
          <w:bCs/>
          <w:color w:val="auto"/>
          <w:highlight w:val="none"/>
        </w:rPr>
        <w:t>三、获取采购文件</w:t>
      </w:r>
      <w:bookmarkEnd w:id="18"/>
      <w:bookmarkEnd w:id="19"/>
      <w:bookmarkEnd w:id="20"/>
      <w:bookmarkEnd w:id="21"/>
      <w:bookmarkEnd w:id="22"/>
      <w:bookmarkEnd w:id="23"/>
      <w:r>
        <w:rPr>
          <w:rFonts w:hint="eastAsia" w:ascii="宋体" w:hAnsi="宋体" w:eastAsia="宋体" w:cs="宋体"/>
          <w:b/>
          <w:bCs/>
          <w:color w:val="auto"/>
          <w:highlight w:val="none"/>
          <w:lang w:eastAsia="zh-CN"/>
        </w:rPr>
        <w:t>：</w:t>
      </w:r>
    </w:p>
    <w:p w14:paraId="197B6E6B">
      <w:pPr>
        <w:spacing w:line="360" w:lineRule="auto"/>
        <w:ind w:firstLine="540"/>
        <w:rPr>
          <w:rFonts w:hint="eastAsia" w:ascii="宋体" w:hAnsi="宋体" w:eastAsia="宋体" w:cs="宋体"/>
          <w:i w:val="0"/>
          <w:iCs w:val="0"/>
          <w:color w:val="FF0000"/>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FF0000"/>
          <w:sz w:val="24"/>
          <w:szCs w:val="24"/>
          <w:highlight w:val="none"/>
          <w:u w:val="single"/>
          <w:lang w:val="en-US" w:eastAsia="zh-CN"/>
        </w:rPr>
        <w:t>2025年9月3日</w:t>
      </w:r>
      <w:r>
        <w:rPr>
          <w:rFonts w:hint="eastAsia" w:ascii="宋体" w:hAnsi="宋体" w:eastAsia="宋体" w:cs="宋体"/>
          <w:i w:val="0"/>
          <w:iCs w:val="0"/>
          <w:color w:val="FF0000"/>
          <w:sz w:val="24"/>
          <w:szCs w:val="24"/>
          <w:highlight w:val="none"/>
        </w:rPr>
        <w:t>至</w:t>
      </w:r>
      <w:r>
        <w:rPr>
          <w:rFonts w:hint="eastAsia" w:ascii="宋体" w:hAnsi="宋体" w:eastAsia="宋体" w:cs="宋体"/>
          <w:i w:val="0"/>
          <w:iCs w:val="0"/>
          <w:color w:val="FF0000"/>
          <w:sz w:val="24"/>
          <w:szCs w:val="24"/>
          <w:highlight w:val="none"/>
          <w:u w:val="single"/>
        </w:rPr>
        <w:t xml:space="preserve"> </w:t>
      </w:r>
      <w:r>
        <w:rPr>
          <w:rFonts w:hint="eastAsia" w:ascii="宋体" w:hAnsi="宋体" w:eastAsia="宋体" w:cs="宋体"/>
          <w:i w:val="0"/>
          <w:iCs w:val="0"/>
          <w:color w:val="FF0000"/>
          <w:sz w:val="24"/>
          <w:szCs w:val="24"/>
          <w:highlight w:val="none"/>
          <w:u w:val="single"/>
          <w:lang w:val="en-US" w:eastAsia="zh-CN"/>
        </w:rPr>
        <w:t>2025年9</w:t>
      </w:r>
      <w:r>
        <w:rPr>
          <w:rFonts w:hint="eastAsia" w:ascii="宋体" w:hAnsi="宋体" w:eastAsia="宋体" w:cs="宋体"/>
          <w:i w:val="0"/>
          <w:iCs w:val="0"/>
          <w:color w:val="FF0000"/>
          <w:sz w:val="24"/>
          <w:szCs w:val="24"/>
          <w:highlight w:val="none"/>
          <w:u w:val="single"/>
        </w:rPr>
        <w:t>月</w:t>
      </w:r>
      <w:r>
        <w:rPr>
          <w:rFonts w:hint="eastAsia" w:ascii="宋体" w:hAnsi="宋体" w:eastAsia="宋体" w:cs="宋体"/>
          <w:i w:val="0"/>
          <w:iCs w:val="0"/>
          <w:color w:val="FF0000"/>
          <w:sz w:val="24"/>
          <w:szCs w:val="24"/>
          <w:highlight w:val="none"/>
          <w:u w:val="single"/>
          <w:lang w:val="en-US" w:eastAsia="zh-CN"/>
        </w:rPr>
        <w:t>9</w:t>
      </w:r>
      <w:r>
        <w:rPr>
          <w:rFonts w:hint="eastAsia" w:ascii="宋体" w:hAnsi="宋体" w:eastAsia="宋体" w:cs="宋体"/>
          <w:i w:val="0"/>
          <w:iCs w:val="0"/>
          <w:color w:val="FF0000"/>
          <w:sz w:val="24"/>
          <w:szCs w:val="24"/>
          <w:highlight w:val="none"/>
          <w:u w:val="single"/>
        </w:rPr>
        <w:t>日</w:t>
      </w:r>
      <w:r>
        <w:rPr>
          <w:rFonts w:hint="eastAsia" w:ascii="宋体" w:hAnsi="宋体" w:eastAsia="宋体" w:cs="宋体"/>
          <w:i w:val="0"/>
          <w:iCs w:val="0"/>
          <w:color w:val="FF0000"/>
          <w:sz w:val="24"/>
          <w:szCs w:val="24"/>
          <w:highlight w:val="none"/>
        </w:rPr>
        <w:t>，每天上午</w:t>
      </w:r>
      <w:r>
        <w:rPr>
          <w:rFonts w:hint="eastAsia" w:ascii="宋体" w:hAnsi="宋体" w:eastAsia="宋体" w:cs="宋体"/>
          <w:i w:val="0"/>
          <w:iCs w:val="0"/>
          <w:color w:val="FF0000"/>
          <w:sz w:val="24"/>
          <w:szCs w:val="24"/>
          <w:highlight w:val="none"/>
          <w:u w:val="single"/>
          <w:lang w:val="en-US" w:eastAsia="zh-CN"/>
        </w:rPr>
        <w:t>08:30</w:t>
      </w:r>
      <w:r>
        <w:rPr>
          <w:rFonts w:hint="eastAsia" w:ascii="宋体" w:hAnsi="宋体" w:eastAsia="宋体" w:cs="宋体"/>
          <w:i w:val="0"/>
          <w:iCs w:val="0"/>
          <w:color w:val="FF0000"/>
          <w:sz w:val="24"/>
          <w:szCs w:val="24"/>
          <w:highlight w:val="none"/>
        </w:rPr>
        <w:t>至</w:t>
      </w:r>
      <w:r>
        <w:rPr>
          <w:rFonts w:hint="eastAsia" w:ascii="宋体" w:hAnsi="宋体" w:eastAsia="宋体" w:cs="宋体"/>
          <w:i w:val="0"/>
          <w:iCs w:val="0"/>
          <w:color w:val="FF0000"/>
          <w:sz w:val="24"/>
          <w:szCs w:val="24"/>
          <w:highlight w:val="none"/>
          <w:u w:val="single"/>
          <w:lang w:val="en-US" w:eastAsia="zh-CN"/>
        </w:rPr>
        <w:t>12:00</w:t>
      </w:r>
      <w:r>
        <w:rPr>
          <w:rFonts w:hint="eastAsia" w:ascii="宋体" w:hAnsi="宋体" w:eastAsia="宋体" w:cs="宋体"/>
          <w:i w:val="0"/>
          <w:iCs w:val="0"/>
          <w:color w:val="FF0000"/>
          <w:sz w:val="24"/>
          <w:szCs w:val="24"/>
          <w:highlight w:val="none"/>
        </w:rPr>
        <w:t>，下午</w:t>
      </w:r>
      <w:r>
        <w:rPr>
          <w:rFonts w:hint="eastAsia" w:ascii="宋体" w:hAnsi="宋体" w:eastAsia="宋体" w:cs="宋体"/>
          <w:i w:val="0"/>
          <w:iCs w:val="0"/>
          <w:color w:val="FF0000"/>
          <w:sz w:val="24"/>
          <w:szCs w:val="24"/>
          <w:highlight w:val="none"/>
          <w:u w:val="single"/>
          <w:lang w:val="en-US" w:eastAsia="zh-CN"/>
        </w:rPr>
        <w:t>13:30</w:t>
      </w:r>
      <w:r>
        <w:rPr>
          <w:rFonts w:hint="eastAsia" w:ascii="宋体" w:hAnsi="宋体" w:eastAsia="宋体" w:cs="宋体"/>
          <w:i w:val="0"/>
          <w:iCs w:val="0"/>
          <w:color w:val="FF0000"/>
          <w:sz w:val="24"/>
          <w:szCs w:val="24"/>
          <w:highlight w:val="none"/>
        </w:rPr>
        <w:t>至</w:t>
      </w:r>
      <w:r>
        <w:rPr>
          <w:rFonts w:hint="eastAsia" w:ascii="宋体" w:hAnsi="宋体" w:eastAsia="宋体" w:cs="宋体"/>
          <w:i w:val="0"/>
          <w:iCs w:val="0"/>
          <w:color w:val="FF0000"/>
          <w:sz w:val="24"/>
          <w:szCs w:val="24"/>
          <w:highlight w:val="none"/>
          <w:u w:val="single"/>
          <w:lang w:val="en-US" w:eastAsia="zh-CN"/>
        </w:rPr>
        <w:t>16:30</w:t>
      </w:r>
      <w:r>
        <w:rPr>
          <w:rFonts w:hint="eastAsia" w:ascii="宋体" w:hAnsi="宋体" w:eastAsia="宋体" w:cs="宋体"/>
          <w:i w:val="0"/>
          <w:iCs w:val="0"/>
          <w:color w:val="FF0000"/>
          <w:sz w:val="24"/>
          <w:szCs w:val="24"/>
          <w:highlight w:val="none"/>
          <w:u w:val="single"/>
        </w:rPr>
        <w:t>　</w:t>
      </w:r>
      <w:r>
        <w:rPr>
          <w:rFonts w:hint="eastAsia" w:ascii="宋体" w:hAnsi="宋体" w:eastAsia="宋体" w:cs="宋体"/>
          <w:i w:val="0"/>
          <w:iCs w:val="0"/>
          <w:color w:val="FF0000"/>
          <w:sz w:val="24"/>
          <w:szCs w:val="24"/>
          <w:highlight w:val="none"/>
        </w:rPr>
        <w:t>（北京时间，法定节假日除外 ）</w:t>
      </w:r>
    </w:p>
    <w:p w14:paraId="36A13140">
      <w:pPr>
        <w:spacing w:line="360" w:lineRule="auto"/>
        <w:ind w:firstLine="54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济南市市中区二环南路6636号中海广场8楼805(山东三木招标有限公司)</w:t>
      </w:r>
    </w:p>
    <w:p w14:paraId="190013B1">
      <w:pPr>
        <w:spacing w:line="360" w:lineRule="auto"/>
        <w:ind w:firstLine="54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u w:val="single"/>
        </w:rPr>
        <w:t>第一步:供应商在报名和购买磋商文件前，应在中国山东政府采购网（http://www.ccgp-shandong.gov.cn）注册成功并报名；第二步：登录山东三木招标网（http://www.chinasanmu.com.cn），点击“报名系统入口”报名。未按上述要求报名及未报名但已获取磋商文件的，报名均无效。本项目实行资格后审，报名成功不代表评审现场通过资格审查。报名咨询电话：0531-81764009。</w:t>
      </w:r>
    </w:p>
    <w:p w14:paraId="361F20F8">
      <w:pPr>
        <w:spacing w:line="360" w:lineRule="auto"/>
        <w:ind w:firstLine="5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售价：</w:t>
      </w:r>
      <w:r>
        <w:rPr>
          <w:rFonts w:hint="eastAsia" w:ascii="宋体" w:hAnsi="宋体" w:eastAsia="宋体" w:cs="宋体"/>
          <w:i w:val="0"/>
          <w:iCs w:val="0"/>
          <w:color w:val="auto"/>
          <w:sz w:val="24"/>
          <w:szCs w:val="24"/>
          <w:highlight w:val="none"/>
          <w:u w:val="single"/>
        </w:rPr>
        <w:t>300元/包，磋商文件售出不退。开户单位：山东三木招标有限公司，开户银行：中国工商银行济南六里山支行，账号：1602001319200062147。</w:t>
      </w:r>
    </w:p>
    <w:p w14:paraId="53C2A335">
      <w:pPr>
        <w:bidi w:val="0"/>
        <w:rPr>
          <w:rFonts w:hint="eastAsia" w:ascii="宋体" w:hAnsi="宋体" w:eastAsia="宋体" w:cs="宋体"/>
          <w:b/>
          <w:bCs/>
          <w:color w:val="auto"/>
          <w:highlight w:val="none"/>
          <w:lang w:eastAsia="zh-CN"/>
        </w:rPr>
      </w:pPr>
      <w:bookmarkStart w:id="24" w:name="_Toc28359092"/>
      <w:bookmarkStart w:id="25" w:name="_Toc28359015"/>
      <w:bookmarkStart w:id="26" w:name="_Toc35393801"/>
      <w:bookmarkStart w:id="27" w:name="_Toc19624"/>
      <w:bookmarkStart w:id="28" w:name="_Toc35393632"/>
      <w:bookmarkStart w:id="29" w:name="_Toc9537"/>
      <w:r>
        <w:rPr>
          <w:rFonts w:hint="eastAsia" w:ascii="宋体" w:hAnsi="宋体" w:eastAsia="宋体" w:cs="宋体"/>
          <w:b/>
          <w:bCs/>
          <w:color w:val="auto"/>
          <w:highlight w:val="none"/>
        </w:rPr>
        <w:t>四、响应文件提交</w:t>
      </w:r>
      <w:bookmarkEnd w:id="24"/>
      <w:bookmarkEnd w:id="25"/>
      <w:bookmarkEnd w:id="26"/>
      <w:bookmarkEnd w:id="27"/>
      <w:bookmarkEnd w:id="28"/>
      <w:bookmarkEnd w:id="29"/>
      <w:r>
        <w:rPr>
          <w:rFonts w:hint="eastAsia" w:ascii="宋体" w:hAnsi="宋体" w:eastAsia="宋体" w:cs="宋体"/>
          <w:b/>
          <w:bCs/>
          <w:color w:val="auto"/>
          <w:highlight w:val="none"/>
          <w:lang w:eastAsia="zh-CN"/>
        </w:rPr>
        <w:t>：</w:t>
      </w:r>
    </w:p>
    <w:p w14:paraId="57D2167D">
      <w:pPr>
        <w:spacing w:line="360" w:lineRule="auto"/>
        <w:ind w:firstLine="480" w:firstLineChars="200"/>
        <w:rPr>
          <w:rFonts w:hint="eastAsia" w:ascii="宋体" w:hAnsi="宋体" w:eastAsia="宋体" w:cs="宋体"/>
          <w:bCs/>
          <w:i w:val="0"/>
          <w:iCs w:val="0"/>
          <w:color w:val="auto"/>
          <w:sz w:val="24"/>
          <w:szCs w:val="24"/>
          <w:highlight w:val="none"/>
          <w:u w:val="single"/>
        </w:rPr>
      </w:pPr>
      <w:r>
        <w:rPr>
          <w:rFonts w:hint="eastAsia" w:ascii="宋体" w:hAnsi="宋体" w:eastAsia="宋体" w:cs="宋体"/>
          <w:i w:val="0"/>
          <w:iCs w:val="0"/>
          <w:color w:val="auto"/>
          <w:sz w:val="24"/>
          <w:szCs w:val="24"/>
          <w:highlight w:val="none"/>
        </w:rPr>
        <w:t>截止时间：</w:t>
      </w:r>
      <w:r>
        <w:rPr>
          <w:rFonts w:hint="eastAsia" w:ascii="宋体" w:hAnsi="宋体" w:eastAsia="宋体" w:cs="宋体"/>
          <w:i w:val="0"/>
          <w:iCs w:val="0"/>
          <w:color w:val="FF0000"/>
          <w:sz w:val="24"/>
          <w:szCs w:val="24"/>
          <w:highlight w:val="none"/>
          <w:u w:val="single"/>
          <w:lang w:val="en-US" w:eastAsia="zh-CN"/>
        </w:rPr>
        <w:t>2025年</w:t>
      </w:r>
      <w:r>
        <w:rPr>
          <w:rFonts w:hint="eastAsia" w:ascii="宋体" w:hAnsi="宋体" w:eastAsia="宋体" w:cs="宋体"/>
          <w:bCs/>
          <w:i w:val="0"/>
          <w:iCs w:val="0"/>
          <w:color w:val="FF0000"/>
          <w:sz w:val="24"/>
          <w:szCs w:val="24"/>
          <w:highlight w:val="none"/>
          <w:u w:val="single"/>
          <w:lang w:val="en-US" w:eastAsia="zh-CN"/>
        </w:rPr>
        <w:t>9月15日9</w:t>
      </w:r>
      <w:r>
        <w:rPr>
          <w:rFonts w:hint="eastAsia" w:ascii="宋体" w:hAnsi="宋体" w:eastAsia="宋体" w:cs="宋体"/>
          <w:bCs/>
          <w:i w:val="0"/>
          <w:iCs w:val="0"/>
          <w:color w:val="FF0000"/>
          <w:sz w:val="24"/>
          <w:szCs w:val="24"/>
          <w:highlight w:val="none"/>
          <w:u w:val="single"/>
        </w:rPr>
        <w:t>点</w:t>
      </w:r>
      <w:r>
        <w:rPr>
          <w:rFonts w:hint="eastAsia" w:ascii="宋体" w:hAnsi="宋体" w:eastAsia="宋体" w:cs="宋体"/>
          <w:bCs/>
          <w:i w:val="0"/>
          <w:iCs w:val="0"/>
          <w:color w:val="FF0000"/>
          <w:sz w:val="24"/>
          <w:szCs w:val="24"/>
          <w:highlight w:val="none"/>
          <w:u w:val="single"/>
          <w:lang w:val="en-US" w:eastAsia="zh-CN"/>
        </w:rPr>
        <w:t>00</w:t>
      </w:r>
      <w:r>
        <w:rPr>
          <w:rFonts w:hint="eastAsia" w:ascii="宋体" w:hAnsi="宋体" w:eastAsia="宋体" w:cs="宋体"/>
          <w:bCs/>
          <w:i w:val="0"/>
          <w:iCs w:val="0"/>
          <w:color w:val="FF0000"/>
          <w:sz w:val="24"/>
          <w:szCs w:val="24"/>
          <w:highlight w:val="none"/>
          <w:u w:val="single"/>
        </w:rPr>
        <w:t>分</w:t>
      </w:r>
      <w:r>
        <w:rPr>
          <w:rFonts w:hint="eastAsia" w:ascii="宋体" w:hAnsi="宋体" w:eastAsia="宋体" w:cs="宋体"/>
          <w:bCs/>
          <w:i w:val="0"/>
          <w:iCs w:val="0"/>
          <w:color w:val="FF0000"/>
          <w:sz w:val="24"/>
          <w:szCs w:val="24"/>
          <w:highlight w:val="none"/>
        </w:rPr>
        <w:t>（北京时间）</w:t>
      </w:r>
    </w:p>
    <w:p w14:paraId="766FF17A">
      <w:pPr>
        <w:spacing w:line="360" w:lineRule="auto"/>
        <w:ind w:firstLine="480" w:firstLineChars="200"/>
        <w:rPr>
          <w:rFonts w:hint="eastAsia" w:ascii="宋体" w:hAnsi="宋体" w:eastAsia="宋体" w:cs="宋体"/>
          <w:bCs/>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lang w:eastAsia="zh-CN"/>
        </w:rPr>
        <w:t>山东省泰安市泰山区天烛峰路282号诺莱国际医学中心21楼会议室。</w:t>
      </w:r>
    </w:p>
    <w:p w14:paraId="313CBE0D">
      <w:pPr>
        <w:bidi w:val="0"/>
        <w:rPr>
          <w:rFonts w:hint="eastAsia" w:ascii="宋体" w:hAnsi="宋体" w:eastAsia="宋体" w:cs="宋体"/>
          <w:b/>
          <w:bCs/>
          <w:color w:val="auto"/>
          <w:highlight w:val="none"/>
          <w:lang w:eastAsia="zh-CN"/>
        </w:rPr>
      </w:pPr>
      <w:bookmarkStart w:id="30" w:name="_Toc13600"/>
      <w:bookmarkStart w:id="31" w:name="_Toc35393802"/>
      <w:bookmarkStart w:id="32" w:name="_Toc35393633"/>
      <w:bookmarkStart w:id="33" w:name="_Toc23135"/>
      <w:bookmarkStart w:id="34" w:name="_Toc28359093"/>
      <w:bookmarkStart w:id="35" w:name="_Toc28359016"/>
      <w:r>
        <w:rPr>
          <w:rFonts w:hint="eastAsia" w:ascii="宋体" w:hAnsi="宋体" w:eastAsia="宋体" w:cs="宋体"/>
          <w:b/>
          <w:bCs/>
          <w:color w:val="auto"/>
          <w:highlight w:val="none"/>
        </w:rPr>
        <w:t>五、开启</w:t>
      </w:r>
      <w:bookmarkEnd w:id="30"/>
      <w:bookmarkEnd w:id="31"/>
      <w:bookmarkEnd w:id="32"/>
      <w:bookmarkEnd w:id="33"/>
      <w:bookmarkEnd w:id="34"/>
      <w:bookmarkEnd w:id="35"/>
      <w:r>
        <w:rPr>
          <w:rFonts w:hint="eastAsia" w:ascii="宋体" w:hAnsi="宋体" w:eastAsia="宋体" w:cs="宋体"/>
          <w:b/>
          <w:bCs/>
          <w:color w:val="auto"/>
          <w:highlight w:val="none"/>
          <w:lang w:eastAsia="zh-CN"/>
        </w:rPr>
        <w:t>：</w:t>
      </w:r>
    </w:p>
    <w:p w14:paraId="58200D95">
      <w:pPr>
        <w:spacing w:line="360" w:lineRule="auto"/>
        <w:ind w:firstLine="480" w:firstLineChars="200"/>
        <w:rPr>
          <w:rFonts w:hint="eastAsia" w:ascii="宋体" w:hAnsi="宋体" w:eastAsia="宋体" w:cs="宋体"/>
          <w:bCs/>
          <w:i w:val="0"/>
          <w:iCs w:val="0"/>
          <w:color w:val="auto"/>
          <w:sz w:val="24"/>
          <w:szCs w:val="24"/>
          <w:highlight w:val="none"/>
          <w:u w:val="singl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FF0000"/>
          <w:sz w:val="24"/>
          <w:szCs w:val="24"/>
          <w:highlight w:val="none"/>
          <w:u w:val="single"/>
          <w:lang w:val="en-US" w:eastAsia="zh-CN"/>
        </w:rPr>
        <w:t>2025年</w:t>
      </w:r>
      <w:r>
        <w:rPr>
          <w:rFonts w:hint="eastAsia" w:ascii="宋体" w:hAnsi="宋体" w:eastAsia="宋体" w:cs="宋体"/>
          <w:bCs/>
          <w:i w:val="0"/>
          <w:iCs w:val="0"/>
          <w:color w:val="FF0000"/>
          <w:sz w:val="24"/>
          <w:szCs w:val="24"/>
          <w:highlight w:val="none"/>
          <w:u w:val="single"/>
          <w:lang w:val="en-US" w:eastAsia="zh-CN"/>
        </w:rPr>
        <w:t>9月15日9</w:t>
      </w:r>
      <w:r>
        <w:rPr>
          <w:rFonts w:hint="eastAsia" w:ascii="宋体" w:hAnsi="宋体" w:eastAsia="宋体" w:cs="宋体"/>
          <w:bCs/>
          <w:i w:val="0"/>
          <w:iCs w:val="0"/>
          <w:color w:val="FF0000"/>
          <w:sz w:val="24"/>
          <w:szCs w:val="24"/>
          <w:highlight w:val="none"/>
          <w:u w:val="single"/>
        </w:rPr>
        <w:t>点</w:t>
      </w:r>
      <w:r>
        <w:rPr>
          <w:rFonts w:hint="eastAsia" w:ascii="宋体" w:hAnsi="宋体" w:eastAsia="宋体" w:cs="宋体"/>
          <w:bCs/>
          <w:i w:val="0"/>
          <w:iCs w:val="0"/>
          <w:color w:val="FF0000"/>
          <w:sz w:val="24"/>
          <w:szCs w:val="24"/>
          <w:highlight w:val="none"/>
          <w:u w:val="single"/>
          <w:lang w:val="en-US" w:eastAsia="zh-CN"/>
        </w:rPr>
        <w:t>00</w:t>
      </w:r>
      <w:r>
        <w:rPr>
          <w:rFonts w:hint="eastAsia" w:ascii="宋体" w:hAnsi="宋体" w:eastAsia="宋体" w:cs="宋体"/>
          <w:bCs/>
          <w:i w:val="0"/>
          <w:iCs w:val="0"/>
          <w:color w:val="FF0000"/>
          <w:sz w:val="24"/>
          <w:szCs w:val="24"/>
          <w:highlight w:val="none"/>
          <w:u w:val="single"/>
        </w:rPr>
        <w:t>分</w:t>
      </w:r>
      <w:r>
        <w:rPr>
          <w:rFonts w:hint="eastAsia" w:ascii="宋体" w:hAnsi="宋体" w:eastAsia="宋体" w:cs="宋体"/>
          <w:bCs/>
          <w:i w:val="0"/>
          <w:iCs w:val="0"/>
          <w:color w:val="FF0000"/>
          <w:sz w:val="24"/>
          <w:szCs w:val="24"/>
          <w:highlight w:val="none"/>
        </w:rPr>
        <w:t>（北京时间）</w:t>
      </w:r>
    </w:p>
    <w:p w14:paraId="1C124DA5">
      <w:pPr>
        <w:spacing w:line="360" w:lineRule="auto"/>
        <w:ind w:firstLine="480" w:firstLineChars="200"/>
        <w:rPr>
          <w:rFonts w:hint="eastAsia" w:ascii="宋体" w:hAnsi="宋体" w:eastAsia="宋体" w:cs="宋体"/>
          <w:bCs/>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lang w:eastAsia="zh-CN"/>
        </w:rPr>
        <w:t>山东省泰安市泰山区天烛峰路282号诺莱国际医学中心21楼会议室。</w:t>
      </w:r>
    </w:p>
    <w:p w14:paraId="10D86C7E">
      <w:pPr>
        <w:bidi w:val="0"/>
        <w:rPr>
          <w:rFonts w:hint="eastAsia" w:ascii="宋体" w:hAnsi="宋体" w:eastAsia="宋体" w:cs="宋体"/>
          <w:b/>
          <w:bCs/>
          <w:color w:val="auto"/>
          <w:highlight w:val="none"/>
          <w:lang w:eastAsia="zh-CN"/>
        </w:rPr>
      </w:pPr>
      <w:bookmarkStart w:id="36" w:name="_Toc28359094"/>
      <w:bookmarkStart w:id="37" w:name="_Toc28359017"/>
      <w:bookmarkStart w:id="38" w:name="_Toc35393803"/>
      <w:bookmarkStart w:id="39" w:name="_Toc29069"/>
      <w:bookmarkStart w:id="40" w:name="_Toc11206"/>
      <w:bookmarkStart w:id="41" w:name="_Toc35393634"/>
      <w:r>
        <w:rPr>
          <w:rFonts w:hint="eastAsia" w:ascii="宋体" w:hAnsi="宋体" w:eastAsia="宋体" w:cs="宋体"/>
          <w:b/>
          <w:bCs/>
          <w:color w:val="auto"/>
          <w:highlight w:val="none"/>
        </w:rPr>
        <w:t>六、公告期限</w:t>
      </w:r>
      <w:bookmarkEnd w:id="36"/>
      <w:bookmarkEnd w:id="37"/>
      <w:bookmarkEnd w:id="38"/>
      <w:bookmarkEnd w:id="39"/>
      <w:bookmarkEnd w:id="40"/>
      <w:bookmarkEnd w:id="41"/>
    </w:p>
    <w:p w14:paraId="60CEEB41">
      <w:pPr>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自本公告发布之日起3个工作日。</w:t>
      </w:r>
    </w:p>
    <w:p w14:paraId="56713D5A">
      <w:pPr>
        <w:bidi w:val="0"/>
        <w:rPr>
          <w:rFonts w:hint="eastAsia" w:ascii="宋体" w:hAnsi="宋体" w:eastAsia="宋体" w:cs="宋体"/>
          <w:b/>
          <w:bCs/>
          <w:color w:val="auto"/>
          <w:highlight w:val="none"/>
          <w:lang w:val="en-US" w:eastAsia="zh-CN"/>
        </w:rPr>
      </w:pPr>
      <w:bookmarkStart w:id="42" w:name="_Toc16023"/>
      <w:bookmarkStart w:id="43" w:name="_Toc35393804"/>
      <w:bookmarkStart w:id="44" w:name="_Toc8217"/>
      <w:bookmarkStart w:id="45" w:name="_Toc35393635"/>
      <w:r>
        <w:rPr>
          <w:rFonts w:hint="eastAsia" w:ascii="宋体" w:hAnsi="宋体" w:eastAsia="宋体" w:cs="宋体"/>
          <w:b/>
          <w:bCs/>
          <w:color w:val="auto"/>
          <w:highlight w:val="none"/>
        </w:rPr>
        <w:t>七、其他补充事宜</w:t>
      </w:r>
      <w:bookmarkEnd w:id="42"/>
      <w:bookmarkEnd w:id="43"/>
      <w:bookmarkEnd w:id="44"/>
      <w:bookmarkEnd w:id="45"/>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无</w:t>
      </w:r>
    </w:p>
    <w:p w14:paraId="601DC10B">
      <w:pPr>
        <w:bidi w:val="0"/>
        <w:rPr>
          <w:rFonts w:hint="eastAsia" w:ascii="宋体" w:hAnsi="宋体" w:eastAsia="宋体" w:cs="宋体"/>
          <w:b/>
          <w:bCs/>
          <w:color w:val="auto"/>
          <w:highlight w:val="none"/>
          <w:lang w:eastAsia="zh-CN"/>
        </w:rPr>
      </w:pPr>
      <w:bookmarkStart w:id="46" w:name="_Toc35393636"/>
      <w:bookmarkStart w:id="47" w:name="_Toc19715"/>
      <w:bookmarkStart w:id="48" w:name="_Toc28359095"/>
      <w:bookmarkStart w:id="49" w:name="_Toc35393805"/>
      <w:bookmarkStart w:id="50" w:name="_Toc12584"/>
      <w:bookmarkStart w:id="51" w:name="_Toc28359018"/>
      <w:r>
        <w:rPr>
          <w:rFonts w:hint="eastAsia" w:ascii="宋体" w:hAnsi="宋体" w:eastAsia="宋体" w:cs="宋体"/>
          <w:b/>
          <w:bCs/>
          <w:color w:val="auto"/>
          <w:highlight w:val="none"/>
        </w:rPr>
        <w:t>八、凡对本次采购提出询问，请按以下方式联系</w:t>
      </w:r>
      <w:bookmarkEnd w:id="46"/>
      <w:bookmarkEnd w:id="47"/>
      <w:bookmarkEnd w:id="48"/>
      <w:bookmarkEnd w:id="49"/>
      <w:bookmarkEnd w:id="50"/>
      <w:bookmarkEnd w:id="51"/>
      <w:r>
        <w:rPr>
          <w:rFonts w:hint="eastAsia" w:ascii="宋体" w:hAnsi="宋体" w:eastAsia="宋体" w:cs="宋体"/>
          <w:b/>
          <w:bCs/>
          <w:color w:val="auto"/>
          <w:highlight w:val="none"/>
          <w:lang w:eastAsia="zh-CN"/>
        </w:rPr>
        <w:t>：</w:t>
      </w:r>
    </w:p>
    <w:p w14:paraId="1BBF9A90">
      <w:pPr>
        <w:bidi w:val="0"/>
        <w:rPr>
          <w:rFonts w:hint="eastAsia" w:ascii="宋体" w:hAnsi="宋体" w:eastAsia="宋体" w:cs="宋体"/>
        </w:rPr>
      </w:pPr>
      <w:bookmarkStart w:id="52" w:name="_Toc35393806"/>
      <w:bookmarkStart w:id="53" w:name="_Toc28359019"/>
      <w:bookmarkStart w:id="54" w:name="_Toc3922"/>
      <w:bookmarkStart w:id="55" w:name="_Toc28359096"/>
      <w:bookmarkStart w:id="56" w:name="_Toc31064"/>
      <w:bookmarkStart w:id="57" w:name="_Toc35393637"/>
      <w:bookmarkStart w:id="58" w:name="_Toc12809"/>
      <w:r>
        <w:rPr>
          <w:rFonts w:hint="eastAsia" w:ascii="宋体" w:hAnsi="宋体" w:eastAsia="宋体" w:cs="宋体"/>
        </w:rPr>
        <w:t>1.采购人信息</w:t>
      </w:r>
      <w:bookmarkEnd w:id="52"/>
      <w:bookmarkEnd w:id="53"/>
      <w:bookmarkEnd w:id="54"/>
      <w:bookmarkEnd w:id="55"/>
      <w:bookmarkEnd w:id="56"/>
      <w:bookmarkEnd w:id="57"/>
      <w:bookmarkEnd w:id="58"/>
    </w:p>
    <w:p w14:paraId="09A46BAE">
      <w:pPr>
        <w:spacing w:line="360" w:lineRule="auto"/>
        <w:ind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名    称：</w:t>
      </w:r>
      <w:r>
        <w:rPr>
          <w:rFonts w:hint="eastAsia" w:ascii="宋体" w:hAnsi="宋体" w:eastAsia="宋体" w:cs="宋体"/>
          <w:i w:val="0"/>
          <w:iCs w:val="0"/>
          <w:color w:val="auto"/>
          <w:sz w:val="24"/>
          <w:szCs w:val="24"/>
          <w:highlight w:val="none"/>
          <w:lang w:eastAsia="zh-CN"/>
        </w:rPr>
        <w:t>泰山学院</w:t>
      </w:r>
    </w:p>
    <w:p w14:paraId="5D30AC11">
      <w:pPr>
        <w:spacing w:line="360" w:lineRule="auto"/>
        <w:ind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lang w:eastAsia="zh-CN"/>
        </w:rPr>
        <w:t>山东省泰安市东岳大街525号</w:t>
      </w:r>
    </w:p>
    <w:p w14:paraId="23B51584">
      <w:pPr>
        <w:spacing w:line="360" w:lineRule="auto"/>
        <w:ind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lang w:eastAsia="zh-CN"/>
        </w:rPr>
        <w:t>0538-6715159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泰山学院</w:t>
      </w:r>
      <w:r>
        <w:rPr>
          <w:rFonts w:hint="eastAsia" w:ascii="宋体" w:hAnsi="宋体" w:eastAsia="宋体" w:cs="宋体"/>
          <w:i w:val="0"/>
          <w:iCs w:val="0"/>
          <w:color w:val="auto"/>
          <w:sz w:val="24"/>
          <w:szCs w:val="24"/>
          <w:highlight w:val="none"/>
        </w:rPr>
        <w:t>)</w:t>
      </w:r>
    </w:p>
    <w:p w14:paraId="52A884F2">
      <w:pPr>
        <w:bidi w:val="0"/>
        <w:rPr>
          <w:rFonts w:hint="eastAsia" w:ascii="宋体" w:hAnsi="宋体" w:eastAsia="宋体" w:cs="宋体"/>
        </w:rPr>
      </w:pPr>
      <w:bookmarkStart w:id="59" w:name="_Toc28359097"/>
      <w:bookmarkStart w:id="60" w:name="_Toc2106"/>
      <w:bookmarkStart w:id="61" w:name="_Toc10495"/>
      <w:bookmarkStart w:id="62" w:name="_Toc28359020"/>
      <w:bookmarkStart w:id="63" w:name="_Toc35393638"/>
      <w:bookmarkStart w:id="64" w:name="_Toc19074"/>
      <w:bookmarkStart w:id="65" w:name="_Toc35393807"/>
      <w:r>
        <w:rPr>
          <w:rFonts w:hint="eastAsia" w:ascii="宋体" w:hAnsi="宋体" w:eastAsia="宋体" w:cs="宋体"/>
        </w:rPr>
        <w:t>2.采购代理机构信息</w:t>
      </w:r>
      <w:bookmarkEnd w:id="59"/>
      <w:bookmarkEnd w:id="60"/>
      <w:bookmarkEnd w:id="61"/>
      <w:bookmarkEnd w:id="62"/>
      <w:bookmarkEnd w:id="63"/>
      <w:bookmarkEnd w:id="64"/>
      <w:bookmarkEnd w:id="65"/>
    </w:p>
    <w:p w14:paraId="53A4EC82">
      <w:pPr>
        <w:spacing w:line="360" w:lineRule="auto"/>
        <w:ind w:firstLine="720" w:firstLineChars="3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    称：山东三木招标有限公司</w:t>
      </w:r>
    </w:p>
    <w:p w14:paraId="395A861B">
      <w:pPr>
        <w:spacing w:line="360" w:lineRule="auto"/>
        <w:ind w:firstLine="720" w:firstLineChars="3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址：山东省省济南市市中</w:t>
      </w:r>
      <w:r>
        <w:rPr>
          <w:rFonts w:hint="eastAsia" w:ascii="宋体" w:hAnsi="宋体" w:eastAsia="宋体" w:cs="宋体"/>
          <w:i w:val="0"/>
          <w:iCs w:val="0"/>
          <w:color w:val="auto"/>
          <w:sz w:val="24"/>
          <w:szCs w:val="24"/>
          <w:highlight w:val="none"/>
          <w:lang w:val="en-US" w:eastAsia="zh-CN"/>
        </w:rPr>
        <w:t>区</w:t>
      </w:r>
      <w:r>
        <w:rPr>
          <w:rFonts w:hint="eastAsia" w:ascii="宋体" w:hAnsi="宋体" w:eastAsia="宋体" w:cs="宋体"/>
          <w:i w:val="0"/>
          <w:iCs w:val="0"/>
          <w:color w:val="auto"/>
          <w:sz w:val="24"/>
          <w:szCs w:val="24"/>
          <w:highlight w:val="none"/>
        </w:rPr>
        <w:t>二环南路6636号中海广场写字楼8楼04单元</w:t>
      </w:r>
    </w:p>
    <w:p w14:paraId="68BC8241">
      <w:pPr>
        <w:spacing w:line="360" w:lineRule="auto"/>
        <w:ind w:firstLine="720" w:firstLineChars="3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联系</w:t>
      </w:r>
      <w:r>
        <w:rPr>
          <w:rFonts w:hint="eastAsia" w:ascii="宋体" w:hAnsi="宋体" w:eastAsia="宋体" w:cs="宋体"/>
          <w:i w:val="0"/>
          <w:iCs w:val="0"/>
          <w:color w:val="auto"/>
          <w:sz w:val="24"/>
          <w:szCs w:val="24"/>
          <w:highlight w:val="none"/>
          <w:lang w:val="en-US" w:eastAsia="zh-CN"/>
        </w:rPr>
        <w:t>方式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刘经理  </w:t>
      </w:r>
    </w:p>
    <w:p w14:paraId="436CD7C4">
      <w:pPr>
        <w:spacing w:line="360" w:lineRule="auto"/>
        <w:ind w:firstLine="720" w:firstLineChars="3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技术咨询电话：0538-5056050；报名咨询电话：0531-81764009；财务（发票问题）电话：0531-86119290 </w:t>
      </w:r>
    </w:p>
    <w:p w14:paraId="30514709">
      <w:pPr>
        <w:spacing w:line="360" w:lineRule="auto"/>
        <w:ind w:firstLine="720" w:firstLineChars="300"/>
        <w:rPr>
          <w:rFonts w:hint="eastAsia" w:ascii="宋体" w:hAnsi="宋体" w:eastAsia="宋体" w:cs="宋体"/>
          <w:i w:val="0"/>
          <w:iCs w:val="0"/>
          <w:color w:val="auto"/>
          <w:sz w:val="24"/>
          <w:szCs w:val="24"/>
          <w:highlight w:val="none"/>
        </w:rPr>
      </w:pPr>
    </w:p>
    <w:p w14:paraId="676FE4D7">
      <w:pPr>
        <w:spacing w:line="360" w:lineRule="auto"/>
        <w:ind w:firstLine="720" w:firstLineChars="300"/>
        <w:rPr>
          <w:rFonts w:hint="eastAsia" w:ascii="宋体" w:hAnsi="宋体" w:eastAsia="宋体" w:cs="宋体"/>
          <w:i w:val="0"/>
          <w:iCs w:val="0"/>
          <w:color w:val="auto"/>
          <w:sz w:val="24"/>
          <w:szCs w:val="24"/>
          <w:highlight w:val="none"/>
        </w:rPr>
      </w:pPr>
    </w:p>
    <w:p w14:paraId="7BD33970">
      <w:pPr>
        <w:spacing w:line="360" w:lineRule="auto"/>
        <w:ind w:firstLine="720" w:firstLineChars="300"/>
        <w:rPr>
          <w:rFonts w:hint="eastAsia" w:ascii="宋体" w:hAnsi="宋体" w:eastAsia="宋体" w:cs="宋体"/>
          <w:i w:val="0"/>
          <w:iCs w:val="0"/>
          <w:color w:val="auto"/>
          <w:sz w:val="24"/>
          <w:szCs w:val="24"/>
          <w:highlight w:val="none"/>
        </w:rPr>
      </w:pPr>
    </w:p>
    <w:p w14:paraId="1ED09444">
      <w:pPr>
        <w:pStyle w:val="2"/>
        <w:numPr>
          <w:ilvl w:val="0"/>
          <w:numId w:val="0"/>
        </w:numPr>
        <w:jc w:val="center"/>
        <w:rPr>
          <w:rFonts w:hint="eastAsia" w:ascii="宋体" w:hAnsi="宋体" w:eastAsia="宋体" w:cs="宋体"/>
          <w:color w:val="auto"/>
          <w:highlight w:val="none"/>
        </w:rPr>
      </w:pPr>
      <w:bookmarkStart w:id="66" w:name="_Toc27601"/>
      <w:r>
        <w:rPr>
          <w:rFonts w:hint="eastAsia" w:ascii="宋体" w:hAnsi="宋体" w:eastAsia="宋体" w:cs="宋体"/>
          <w:color w:val="auto"/>
          <w:highlight w:val="none"/>
          <w:lang w:val="en-US" w:eastAsia="zh-CN"/>
        </w:rPr>
        <w:t xml:space="preserve">第六部分  </w:t>
      </w:r>
      <w:r>
        <w:rPr>
          <w:rFonts w:hint="eastAsia" w:ascii="宋体" w:hAnsi="宋体" w:eastAsia="宋体" w:cs="宋体"/>
          <w:color w:val="auto"/>
          <w:highlight w:val="none"/>
        </w:rPr>
        <w:t>供应商须知附表</w:t>
      </w:r>
      <w:bookmarkEnd w:id="66"/>
    </w:p>
    <w:tbl>
      <w:tblPr>
        <w:tblStyle w:val="2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9"/>
        <w:gridCol w:w="1813"/>
        <w:gridCol w:w="7012"/>
      </w:tblGrid>
      <w:tr w14:paraId="303B2E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6" w:hRule="atLeast"/>
          <w:tblHeader/>
        </w:trPr>
        <w:tc>
          <w:tcPr>
            <w:tcW w:w="448" w:type="pct"/>
            <w:vAlign w:val="center"/>
          </w:tcPr>
          <w:p w14:paraId="69CB0423">
            <w:pPr>
              <w:ind w:firstLineChars="0"/>
              <w:rPr>
                <w:rFonts w:ascii="宋体" w:hAnsi="宋体" w:eastAsia="宋体" w:cs="宋体"/>
                <w:color w:val="auto"/>
                <w:highlight w:val="none"/>
              </w:rPr>
            </w:pPr>
            <w:r>
              <w:rPr>
                <w:rFonts w:hint="eastAsia" w:ascii="宋体" w:hAnsi="宋体" w:eastAsia="宋体" w:cs="宋体"/>
                <w:color w:val="auto"/>
                <w:highlight w:val="none"/>
              </w:rPr>
              <w:t>序号</w:t>
            </w:r>
          </w:p>
        </w:tc>
        <w:tc>
          <w:tcPr>
            <w:tcW w:w="935" w:type="pct"/>
            <w:vAlign w:val="center"/>
          </w:tcPr>
          <w:p w14:paraId="78D6BED5">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内容</w:t>
            </w:r>
          </w:p>
        </w:tc>
        <w:tc>
          <w:tcPr>
            <w:tcW w:w="3616" w:type="pct"/>
            <w:vAlign w:val="center"/>
          </w:tcPr>
          <w:p w14:paraId="39C2694C">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说明与要求</w:t>
            </w:r>
          </w:p>
        </w:tc>
      </w:tr>
      <w:tr w14:paraId="76D26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448" w:type="pct"/>
            <w:vMerge w:val="restart"/>
            <w:vAlign w:val="center"/>
          </w:tcPr>
          <w:p w14:paraId="40EB6C3A">
            <w:pPr>
              <w:ind w:firstLine="319" w:firstLineChars="133"/>
              <w:rPr>
                <w:rFonts w:ascii="宋体" w:hAnsi="宋体" w:eastAsia="宋体" w:cs="宋体"/>
                <w:color w:val="auto"/>
                <w:highlight w:val="none"/>
              </w:rPr>
            </w:pPr>
            <w:r>
              <w:rPr>
                <w:rFonts w:hint="eastAsia" w:ascii="宋体" w:hAnsi="宋体" w:eastAsia="宋体" w:cs="宋体"/>
                <w:color w:val="auto"/>
                <w:highlight w:val="none"/>
              </w:rPr>
              <w:t>1</w:t>
            </w:r>
          </w:p>
        </w:tc>
        <w:tc>
          <w:tcPr>
            <w:tcW w:w="935" w:type="pct"/>
            <w:vAlign w:val="center"/>
          </w:tcPr>
          <w:p w14:paraId="110A2E33">
            <w:pPr>
              <w:bidi w:val="0"/>
              <w:rPr>
                <w:rFonts w:hint="eastAsia" w:ascii="宋体" w:hAnsi="宋体" w:eastAsia="宋体" w:cs="宋体"/>
                <w:b w:val="0"/>
                <w:bCs w:val="0"/>
                <w:color w:val="auto"/>
                <w:highlight w:val="none"/>
              </w:rPr>
            </w:pPr>
            <w:r>
              <w:rPr>
                <w:rFonts w:hint="eastAsia" w:ascii="宋体" w:hAnsi="宋体" w:eastAsia="宋体" w:cs="宋体"/>
              </w:rPr>
              <w:t>采购人</w:t>
            </w:r>
          </w:p>
        </w:tc>
        <w:tc>
          <w:tcPr>
            <w:tcW w:w="3616" w:type="pct"/>
            <w:vAlign w:val="center"/>
          </w:tcPr>
          <w:p w14:paraId="045178DC">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1、名称：</w:t>
            </w:r>
            <w:r>
              <w:rPr>
                <w:rFonts w:hint="eastAsia" w:ascii="宋体" w:hAnsi="宋体" w:eastAsia="宋体" w:cs="宋体"/>
                <w:color w:val="auto"/>
                <w:highlight w:val="none"/>
                <w:lang w:eastAsia="zh-CN"/>
              </w:rPr>
              <w:t>泰山学院</w:t>
            </w:r>
          </w:p>
          <w:p w14:paraId="083EF4B1">
            <w:pPr>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2、地址：</w:t>
            </w:r>
            <w:r>
              <w:rPr>
                <w:rFonts w:hint="eastAsia" w:ascii="宋体" w:hAnsi="宋体" w:eastAsia="宋体" w:cs="宋体"/>
                <w:i w:val="0"/>
                <w:iCs w:val="0"/>
                <w:color w:val="auto"/>
                <w:sz w:val="24"/>
                <w:szCs w:val="24"/>
                <w:highlight w:val="none"/>
                <w:lang w:eastAsia="zh-CN"/>
              </w:rPr>
              <w:t>山东省泰安市东岳大街525号</w:t>
            </w:r>
          </w:p>
        </w:tc>
      </w:tr>
      <w:tr w14:paraId="0B16D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448" w:type="pct"/>
            <w:vMerge w:val="continue"/>
            <w:vAlign w:val="center"/>
          </w:tcPr>
          <w:p w14:paraId="0B1D9DA8">
            <w:pPr>
              <w:ind w:firstLine="319" w:firstLineChars="133"/>
              <w:rPr>
                <w:rFonts w:ascii="宋体" w:hAnsi="宋体" w:eastAsia="宋体" w:cs="宋体"/>
                <w:color w:val="auto"/>
                <w:highlight w:val="none"/>
              </w:rPr>
            </w:pPr>
          </w:p>
        </w:tc>
        <w:tc>
          <w:tcPr>
            <w:tcW w:w="935" w:type="pct"/>
            <w:vAlign w:val="center"/>
          </w:tcPr>
          <w:p w14:paraId="0E862384">
            <w:pPr>
              <w:bidi w:val="0"/>
              <w:ind w:left="0" w:leftChars="0" w:firstLine="240" w:firstLineChars="100"/>
              <w:rPr>
                <w:rFonts w:hint="eastAsia" w:ascii="宋体" w:hAnsi="宋体" w:eastAsia="宋体" w:cs="宋体"/>
                <w:b w:val="0"/>
                <w:bCs w:val="0"/>
              </w:rPr>
            </w:pPr>
            <w:r>
              <w:rPr>
                <w:rFonts w:hint="eastAsia" w:ascii="宋体" w:hAnsi="宋体" w:eastAsia="宋体" w:cs="宋体"/>
              </w:rPr>
              <w:t>采购代理机构</w:t>
            </w:r>
          </w:p>
        </w:tc>
        <w:tc>
          <w:tcPr>
            <w:tcW w:w="3616" w:type="pct"/>
            <w:vAlign w:val="center"/>
          </w:tcPr>
          <w:p w14:paraId="6FC63314">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名称：山东三木招标有限公司</w:t>
            </w:r>
          </w:p>
          <w:p w14:paraId="6023848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地址：济南市市中区二环南路6636号中海广场8层80</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室</w:t>
            </w:r>
          </w:p>
        </w:tc>
      </w:tr>
      <w:tr w14:paraId="5D053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1" w:hRule="atLeast"/>
        </w:trPr>
        <w:tc>
          <w:tcPr>
            <w:tcW w:w="448" w:type="pct"/>
            <w:vAlign w:val="center"/>
          </w:tcPr>
          <w:p w14:paraId="1A276B76">
            <w:pPr>
              <w:ind w:firstLine="316" w:firstLineChars="132"/>
              <w:rPr>
                <w:rFonts w:ascii="宋体" w:hAnsi="宋体" w:eastAsia="宋体" w:cs="宋体"/>
                <w:color w:val="auto"/>
                <w:highlight w:val="none"/>
              </w:rPr>
            </w:pPr>
            <w:r>
              <w:rPr>
                <w:rFonts w:hint="eastAsia" w:ascii="宋体" w:hAnsi="宋体" w:eastAsia="宋体" w:cs="宋体"/>
                <w:color w:val="auto"/>
                <w:highlight w:val="none"/>
              </w:rPr>
              <w:t>2</w:t>
            </w:r>
          </w:p>
        </w:tc>
        <w:tc>
          <w:tcPr>
            <w:tcW w:w="935" w:type="pct"/>
            <w:vAlign w:val="center"/>
          </w:tcPr>
          <w:p w14:paraId="2E17B49C">
            <w:pPr>
              <w:ind w:firstLine="0" w:firstLineChars="0"/>
              <w:jc w:val="center"/>
              <w:rPr>
                <w:rFonts w:ascii="宋体" w:hAnsi="宋体" w:eastAsia="宋体" w:cs="宋体"/>
                <w:color w:val="auto"/>
                <w:highlight w:val="none"/>
                <w:u w:val="none"/>
              </w:rPr>
            </w:pPr>
            <w:r>
              <w:rPr>
                <w:rFonts w:hint="eastAsia" w:ascii="宋体" w:hAnsi="宋体" w:eastAsia="宋体" w:cs="宋体"/>
                <w:color w:val="auto"/>
                <w:highlight w:val="none"/>
                <w:u w:val="none"/>
              </w:rPr>
              <w:t>特定资格资质</w:t>
            </w:r>
          </w:p>
        </w:tc>
        <w:tc>
          <w:tcPr>
            <w:tcW w:w="3616" w:type="pct"/>
            <w:vAlign w:val="center"/>
          </w:tcPr>
          <w:p w14:paraId="4B71BE79">
            <w:pPr>
              <w:numPr>
                <w:ilvl w:val="0"/>
                <w:numId w:val="0"/>
              </w:numPr>
              <w:rPr>
                <w:rFonts w:ascii="宋体" w:hAnsi="宋体" w:eastAsia="宋体" w:cs="宋体"/>
                <w:color w:val="auto"/>
                <w:highlight w:val="none"/>
                <w:u w:val="none"/>
              </w:rPr>
            </w:pPr>
            <w:r>
              <w:rPr>
                <w:rFonts w:hint="eastAsia" w:ascii="宋体" w:hAnsi="宋体" w:eastAsia="宋体" w:cs="宋体"/>
                <w:color w:val="auto"/>
                <w:highlight w:val="none"/>
                <w:u w:val="none"/>
                <w:lang w:val="en-US" w:eastAsia="zh-CN"/>
              </w:rPr>
              <w:t>1、</w:t>
            </w:r>
            <w:r>
              <w:rPr>
                <w:rFonts w:hint="eastAsia" w:ascii="宋体" w:hAnsi="宋体" w:eastAsia="宋体" w:cs="宋体"/>
                <w:color w:val="auto"/>
                <w:highlight w:val="none"/>
                <w:u w:val="none"/>
              </w:rPr>
              <w:t>符合《中华人民共和国政府采购法》第二十二条规定；</w:t>
            </w:r>
          </w:p>
          <w:p w14:paraId="076994CD">
            <w:pPr>
              <w:spacing w:line="360" w:lineRule="auto"/>
              <w:ind w:left="0" w:leftChars="0"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val="en-GB"/>
              </w:rPr>
              <w:t>在“信用中国”（www.creditchina.gov.cn）、“中国政府采购网”（www.ccgp.gov.cn）中被列入失信被执行人、</w:t>
            </w:r>
            <w:r>
              <w:rPr>
                <w:rFonts w:hint="eastAsia" w:ascii="宋体" w:hAnsi="宋体" w:eastAsia="宋体" w:cs="宋体"/>
                <w:color w:val="auto"/>
                <w:highlight w:val="none"/>
                <w:u w:val="none"/>
                <w:lang w:val="en-GB" w:eastAsia="zh-CN"/>
              </w:rPr>
              <w:t>重大税收违法失信主体</w:t>
            </w:r>
            <w:r>
              <w:rPr>
                <w:rFonts w:hint="eastAsia" w:ascii="宋体" w:hAnsi="宋体" w:eastAsia="宋体" w:cs="宋体"/>
                <w:color w:val="auto"/>
                <w:highlight w:val="none"/>
                <w:u w:val="none"/>
                <w:lang w:val="en-GB"/>
              </w:rPr>
              <w:t>、政府采购严重违法失信行为记录名单的供应商，不得参加本次政府采购活动。</w:t>
            </w:r>
          </w:p>
          <w:p w14:paraId="5E801A28">
            <w:pPr>
              <w:numPr>
                <w:ilvl w:val="0"/>
                <w:numId w:val="0"/>
              </w:numPr>
              <w:rPr>
                <w:rFonts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本项目不接受联合体报价。</w:t>
            </w:r>
          </w:p>
        </w:tc>
      </w:tr>
      <w:tr w14:paraId="66C98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330E33E5">
            <w:pPr>
              <w:ind w:firstLine="319" w:firstLineChars="133"/>
              <w:rPr>
                <w:rFonts w:ascii="宋体" w:hAnsi="宋体" w:eastAsia="宋体" w:cs="宋体"/>
                <w:color w:val="auto"/>
                <w:highlight w:val="none"/>
              </w:rPr>
            </w:pPr>
            <w:r>
              <w:rPr>
                <w:rFonts w:hint="eastAsia" w:ascii="宋体" w:hAnsi="宋体" w:eastAsia="宋体" w:cs="宋体"/>
                <w:color w:val="auto"/>
                <w:highlight w:val="none"/>
              </w:rPr>
              <w:t>3</w:t>
            </w:r>
          </w:p>
        </w:tc>
        <w:tc>
          <w:tcPr>
            <w:tcW w:w="935" w:type="pct"/>
            <w:vAlign w:val="center"/>
          </w:tcPr>
          <w:p w14:paraId="2ECA01DF">
            <w:pPr>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计划编号</w:t>
            </w:r>
            <w:r>
              <w:rPr>
                <w:rFonts w:hint="eastAsia" w:ascii="宋体" w:hAnsi="宋体" w:eastAsia="宋体" w:cs="宋体"/>
                <w:color w:val="auto"/>
                <w:highlight w:val="none"/>
                <w:lang w:val="en-US" w:eastAsia="zh-CN"/>
              </w:rPr>
              <w:t>及资金性质</w:t>
            </w:r>
          </w:p>
        </w:tc>
        <w:tc>
          <w:tcPr>
            <w:tcW w:w="3616" w:type="pct"/>
            <w:vAlign w:val="center"/>
          </w:tcPr>
          <w:p w14:paraId="098A0F75">
            <w:pPr>
              <w:ind w:firstLine="0" w:firstLineChars="0"/>
              <w:jc w:val="left"/>
              <w:rPr>
                <w:rFonts w:hint="default"/>
                <w:color w:val="auto"/>
                <w:highlight w:val="none"/>
                <w:lang w:val="en-US" w:eastAsia="zh-CN"/>
              </w:rPr>
            </w:pPr>
            <w:r>
              <w:rPr>
                <w:rFonts w:hint="default" w:ascii="宋体" w:hAnsi="宋体" w:eastAsia="宋体" w:cs="宋体"/>
                <w:color w:val="auto"/>
                <w:highlight w:val="none"/>
                <w:lang w:val="en-US" w:eastAsia="zh-CN"/>
              </w:rPr>
              <w:t>37000000014005520250123</w:t>
            </w:r>
            <w:r>
              <w:rPr>
                <w:rFonts w:hint="eastAsia" w:ascii="宋体" w:hAnsi="宋体" w:eastAsia="宋体" w:cs="宋体"/>
                <w:color w:val="auto"/>
                <w:highlight w:val="none"/>
                <w:lang w:val="en-US" w:eastAsia="zh-CN"/>
              </w:rPr>
              <w:t>；财政专户</w:t>
            </w:r>
          </w:p>
        </w:tc>
      </w:tr>
      <w:tr w14:paraId="71C9CC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745A0B4D">
            <w:pPr>
              <w:ind w:firstLine="319" w:firstLineChars="133"/>
              <w:rPr>
                <w:rFonts w:ascii="宋体" w:hAnsi="宋体" w:eastAsia="宋体" w:cs="宋体"/>
                <w:color w:val="auto"/>
                <w:highlight w:val="none"/>
              </w:rPr>
            </w:pPr>
            <w:r>
              <w:rPr>
                <w:rFonts w:hint="eastAsia" w:ascii="宋体" w:hAnsi="宋体" w:eastAsia="宋体" w:cs="宋体"/>
                <w:color w:val="auto"/>
                <w:highlight w:val="none"/>
              </w:rPr>
              <w:t>4</w:t>
            </w:r>
          </w:p>
        </w:tc>
        <w:tc>
          <w:tcPr>
            <w:tcW w:w="935" w:type="pct"/>
            <w:vAlign w:val="center"/>
          </w:tcPr>
          <w:p w14:paraId="0209A8E6">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采购方式</w:t>
            </w:r>
          </w:p>
        </w:tc>
        <w:tc>
          <w:tcPr>
            <w:tcW w:w="3616" w:type="pct"/>
            <w:vAlign w:val="center"/>
          </w:tcPr>
          <w:p w14:paraId="312376DA">
            <w:pPr>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竞争性磋商</w:t>
            </w:r>
          </w:p>
        </w:tc>
      </w:tr>
      <w:tr w14:paraId="3FBB13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32BF9879">
            <w:pPr>
              <w:ind w:firstLine="319" w:firstLineChars="13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935" w:type="pct"/>
            <w:vAlign w:val="center"/>
          </w:tcPr>
          <w:p w14:paraId="530ADE99">
            <w:pPr>
              <w:ind w:firstLine="0" w:firstLineChars="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是否集中踏勘</w:t>
            </w:r>
          </w:p>
        </w:tc>
        <w:tc>
          <w:tcPr>
            <w:tcW w:w="3616" w:type="pct"/>
            <w:vAlign w:val="center"/>
          </w:tcPr>
          <w:p w14:paraId="04E94EB8">
            <w:pPr>
              <w:ind w:firstLine="0" w:firstLineChars="0"/>
              <w:rPr>
                <w:rFonts w:hint="default"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否</w:t>
            </w:r>
          </w:p>
        </w:tc>
      </w:tr>
      <w:tr w14:paraId="2A5F8F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11339085">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935" w:type="pct"/>
            <w:vAlign w:val="center"/>
          </w:tcPr>
          <w:p w14:paraId="0DD45C76">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是否公开唱价</w:t>
            </w:r>
          </w:p>
        </w:tc>
        <w:tc>
          <w:tcPr>
            <w:tcW w:w="3616" w:type="pct"/>
            <w:vAlign w:val="center"/>
          </w:tcPr>
          <w:p w14:paraId="66E6CA5F">
            <w:pPr>
              <w:adjustRightInd w:val="0"/>
              <w:snapToGrid w:val="0"/>
              <w:ind w:firstLine="0" w:firstLineChars="0"/>
              <w:rPr>
                <w:rFonts w:ascii="宋体" w:hAnsi="宋体" w:eastAsia="宋体" w:cs="宋体"/>
                <w:bCs/>
                <w:color w:val="auto"/>
                <w:szCs w:val="24"/>
                <w:highlight w:val="none"/>
              </w:rPr>
            </w:pPr>
            <w:r>
              <w:rPr>
                <w:rFonts w:hint="eastAsia" w:ascii="宋体" w:hAnsi="宋体" w:eastAsia="宋体" w:cs="宋体"/>
                <w:color w:val="auto"/>
                <w:highlight w:val="none"/>
              </w:rPr>
              <w:t>否</w:t>
            </w:r>
          </w:p>
        </w:tc>
      </w:tr>
      <w:tr w14:paraId="7BC63B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748150DB">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p>
        </w:tc>
        <w:tc>
          <w:tcPr>
            <w:tcW w:w="935" w:type="pct"/>
            <w:vAlign w:val="center"/>
          </w:tcPr>
          <w:p w14:paraId="4416A3AD">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是否专门面向中小微企业采购</w:t>
            </w:r>
          </w:p>
        </w:tc>
        <w:tc>
          <w:tcPr>
            <w:tcW w:w="3616" w:type="pct"/>
            <w:vAlign w:val="center"/>
          </w:tcPr>
          <w:p w14:paraId="65F795EF">
            <w:pPr>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否</w:t>
            </w:r>
          </w:p>
        </w:tc>
      </w:tr>
      <w:tr w14:paraId="0D1AF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7BF752B0">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935" w:type="pct"/>
            <w:vAlign w:val="center"/>
          </w:tcPr>
          <w:p w14:paraId="0C908869">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中小企业划分标准中采购标的所属行业</w:t>
            </w:r>
          </w:p>
        </w:tc>
        <w:tc>
          <w:tcPr>
            <w:tcW w:w="3616" w:type="pct"/>
            <w:vAlign w:val="center"/>
          </w:tcPr>
          <w:p w14:paraId="4E1AB571">
            <w:pPr>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工业</w:t>
            </w:r>
          </w:p>
        </w:tc>
      </w:tr>
      <w:tr w14:paraId="7147EA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1" w:hRule="atLeast"/>
        </w:trPr>
        <w:tc>
          <w:tcPr>
            <w:tcW w:w="448" w:type="pct"/>
            <w:vAlign w:val="center"/>
          </w:tcPr>
          <w:p w14:paraId="0F56ED29">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935" w:type="pct"/>
            <w:vAlign w:val="center"/>
          </w:tcPr>
          <w:p w14:paraId="7B3119A6">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是否允许分包、转包</w:t>
            </w:r>
          </w:p>
        </w:tc>
        <w:tc>
          <w:tcPr>
            <w:tcW w:w="3616" w:type="pct"/>
            <w:vAlign w:val="center"/>
          </w:tcPr>
          <w:p w14:paraId="7AF583F0">
            <w:pPr>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否</w:t>
            </w:r>
          </w:p>
        </w:tc>
      </w:tr>
      <w:tr w14:paraId="21FF7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3699D41C">
            <w:pPr>
              <w:ind w:firstLine="319" w:firstLineChars="133"/>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935" w:type="pct"/>
            <w:vAlign w:val="center"/>
          </w:tcPr>
          <w:p w14:paraId="79A01AC6">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样品要求</w:t>
            </w:r>
          </w:p>
        </w:tc>
        <w:tc>
          <w:tcPr>
            <w:tcW w:w="3616" w:type="pct"/>
            <w:vAlign w:val="center"/>
          </w:tcPr>
          <w:p w14:paraId="04A380B6">
            <w:pPr>
              <w:ind w:firstLine="0" w:firstLineChars="0"/>
              <w:rPr>
                <w:rFonts w:ascii="宋体" w:hAnsi="宋体" w:eastAsia="宋体" w:cs="宋体"/>
                <w:color w:val="auto"/>
                <w:highlight w:val="none"/>
              </w:rPr>
            </w:pPr>
            <w:r>
              <w:rPr>
                <w:rFonts w:hint="eastAsia" w:ascii="宋体" w:hAnsi="宋体" w:eastAsia="宋体" w:cs="宋体"/>
                <w:color w:val="auto"/>
                <w:highlight w:val="none"/>
              </w:rPr>
              <w:t>无</w:t>
            </w:r>
          </w:p>
        </w:tc>
      </w:tr>
      <w:tr w14:paraId="28768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690573E1">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p>
        </w:tc>
        <w:tc>
          <w:tcPr>
            <w:tcW w:w="935" w:type="pct"/>
            <w:vAlign w:val="center"/>
          </w:tcPr>
          <w:p w14:paraId="2FFA9C97">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演示要求</w:t>
            </w:r>
          </w:p>
        </w:tc>
        <w:tc>
          <w:tcPr>
            <w:tcW w:w="3616" w:type="pct"/>
            <w:vAlign w:val="center"/>
          </w:tcPr>
          <w:p w14:paraId="15AE62E4">
            <w:pPr>
              <w:adjustRightInd w:val="0"/>
              <w:snapToGrid w:val="0"/>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23560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76FAE299">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p>
        </w:tc>
        <w:tc>
          <w:tcPr>
            <w:tcW w:w="935" w:type="pct"/>
            <w:vAlign w:val="center"/>
          </w:tcPr>
          <w:p w14:paraId="04E75FD0">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供货期</w:t>
            </w:r>
          </w:p>
        </w:tc>
        <w:tc>
          <w:tcPr>
            <w:tcW w:w="3616" w:type="pct"/>
            <w:vAlign w:val="center"/>
          </w:tcPr>
          <w:p w14:paraId="56344A02">
            <w:pPr>
              <w:ind w:firstLine="0" w:firstLineChars="0"/>
              <w:rPr>
                <w:rFonts w:ascii="宋体" w:hAnsi="宋体" w:eastAsia="宋体" w:cs="宋体"/>
                <w:color w:val="auto"/>
                <w:highlight w:val="none"/>
              </w:rPr>
            </w:pPr>
            <w:r>
              <w:rPr>
                <w:rFonts w:hint="eastAsia" w:ascii="宋体" w:hAnsi="宋体" w:eastAsia="宋体" w:cs="宋体"/>
                <w:color w:val="auto"/>
                <w:highlight w:val="none"/>
              </w:rPr>
              <w:t>合同签订</w:t>
            </w:r>
            <w:r>
              <w:rPr>
                <w:rFonts w:hint="eastAsia" w:ascii="宋体" w:hAnsi="宋体" w:eastAsia="宋体" w:cs="宋体"/>
                <w:color w:val="auto"/>
                <w:highlight w:val="none"/>
                <w:lang w:val="en-US" w:eastAsia="zh-CN"/>
              </w:rPr>
              <w:t>且接采购人通知后30</w:t>
            </w:r>
            <w:r>
              <w:rPr>
                <w:rFonts w:hint="eastAsia" w:ascii="宋体" w:hAnsi="宋体" w:eastAsia="宋体" w:cs="宋体"/>
                <w:color w:val="auto"/>
                <w:highlight w:val="none"/>
              </w:rPr>
              <w:t>日内</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安装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调试完毕</w:t>
            </w:r>
            <w:r>
              <w:rPr>
                <w:rFonts w:ascii="宋体" w:hAnsi="宋体" w:eastAsia="宋体" w:cs="宋体"/>
                <w:color w:val="auto"/>
                <w:sz w:val="24"/>
                <w:szCs w:val="24"/>
                <w:highlight w:val="none"/>
              </w:rPr>
              <w:t>。</w:t>
            </w:r>
          </w:p>
        </w:tc>
      </w:tr>
      <w:tr w14:paraId="4ACFC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13F06E89">
            <w:pPr>
              <w:ind w:firstLine="319" w:firstLineChars="133"/>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935" w:type="pct"/>
            <w:vAlign w:val="center"/>
          </w:tcPr>
          <w:p w14:paraId="09B65ADD">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质保期</w:t>
            </w:r>
          </w:p>
        </w:tc>
        <w:tc>
          <w:tcPr>
            <w:tcW w:w="3616" w:type="pct"/>
            <w:vAlign w:val="center"/>
          </w:tcPr>
          <w:p w14:paraId="4D7F5DE7">
            <w:pPr>
              <w:ind w:firstLine="0" w:firstLineChars="0"/>
              <w:rPr>
                <w:rFonts w:ascii="宋体" w:hAnsi="宋体" w:eastAsia="宋体" w:cs="宋体"/>
                <w:color w:val="auto"/>
                <w:highlight w:val="none"/>
              </w:rPr>
            </w:pPr>
            <w:bookmarkStart w:id="67" w:name="OLE_LINK23"/>
            <w:r>
              <w:rPr>
                <w:rFonts w:hint="eastAsia" w:ascii="宋体" w:hAnsi="宋体" w:eastAsia="宋体" w:cs="宋体"/>
                <w:color w:val="auto"/>
                <w:highlight w:val="none"/>
                <w:lang w:val="en-US" w:eastAsia="zh-CN"/>
              </w:rPr>
              <w:t>项目验收合格后3年。</w:t>
            </w:r>
            <w:bookmarkEnd w:id="67"/>
          </w:p>
        </w:tc>
      </w:tr>
      <w:tr w14:paraId="0F012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904" w:hRule="atLeast"/>
        </w:trPr>
        <w:tc>
          <w:tcPr>
            <w:tcW w:w="448" w:type="pct"/>
            <w:vAlign w:val="center"/>
          </w:tcPr>
          <w:p w14:paraId="61F4AE78">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935" w:type="pct"/>
            <w:vAlign w:val="center"/>
          </w:tcPr>
          <w:p w14:paraId="7B2AF9F9">
            <w:pPr>
              <w:pStyle w:val="105"/>
              <w:widowControl/>
              <w:adjustRightInd w:val="0"/>
              <w:spacing w:line="360" w:lineRule="auto"/>
              <w:ind w:left="0"/>
              <w:jc w:val="center"/>
              <w:rPr>
                <w:rFonts w:ascii="宋体" w:hAnsi="宋体" w:cs="宋体"/>
                <w:color w:val="auto"/>
                <w:szCs w:val="24"/>
                <w:highlight w:val="none"/>
              </w:rPr>
            </w:pPr>
            <w:r>
              <w:rPr>
                <w:rFonts w:hint="eastAsia" w:ascii="宋体" w:hAnsi="宋体" w:cs="宋体"/>
                <w:color w:val="auto"/>
                <w:szCs w:val="24"/>
                <w:highlight w:val="none"/>
              </w:rPr>
              <w:t>报价方式</w:t>
            </w:r>
          </w:p>
        </w:tc>
        <w:tc>
          <w:tcPr>
            <w:tcW w:w="3616" w:type="pct"/>
            <w:vAlign w:val="center"/>
          </w:tcPr>
          <w:p w14:paraId="455F9B1A">
            <w:pPr>
              <w:snapToGrid w:val="0"/>
              <w:ind w:firstLine="0" w:firstLineChars="0"/>
              <w:rPr>
                <w:rFonts w:ascii="宋体" w:hAnsi="宋体" w:eastAsia="宋体" w:cs="宋体"/>
                <w:b/>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b/>
                <w:color w:val="auto"/>
                <w:szCs w:val="24"/>
                <w:highlight w:val="none"/>
              </w:rPr>
              <w:t>、本项目为交钥匙项目。</w:t>
            </w:r>
          </w:p>
          <w:p w14:paraId="090173CB">
            <w:pPr>
              <w:snapToGrid w:val="0"/>
              <w:ind w:firstLine="0" w:firstLineChars="0"/>
              <w:rPr>
                <w:rFonts w:ascii="宋体" w:hAnsi="宋体" w:eastAsia="宋体" w:cs="宋体"/>
                <w:bCs/>
                <w:color w:val="auto"/>
                <w:szCs w:val="24"/>
                <w:highlight w:val="none"/>
              </w:rPr>
            </w:pPr>
            <w:r>
              <w:rPr>
                <w:rFonts w:hint="eastAsia" w:ascii="宋体" w:hAnsi="宋体" w:eastAsia="宋体" w:cs="宋体"/>
                <w:b/>
                <w:color w:val="auto"/>
                <w:szCs w:val="24"/>
                <w:highlight w:val="none"/>
              </w:rPr>
              <w:t>2、人民币完税报价</w:t>
            </w:r>
            <w:r>
              <w:rPr>
                <w:rFonts w:hint="eastAsia" w:ascii="宋体" w:hAnsi="宋体" w:eastAsia="宋体" w:cs="宋体"/>
                <w:bCs/>
                <w:color w:val="auto"/>
                <w:szCs w:val="24"/>
                <w:highlight w:val="none"/>
              </w:rPr>
              <w:t>，所有报价应包括设备费、包装、运输、服务、备件、卸车、保管、安装、检验、验收、策划、设计及其他附带服务的费用、利润以及质保期内的售后服务及采购文件明示或隐含的全部费用）。</w:t>
            </w:r>
          </w:p>
          <w:p w14:paraId="0CDDA77B">
            <w:pPr>
              <w:snapToGrid w:val="0"/>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3、本项目采用全费用报价方式，供应商在报价时应充分考虑市场环境和生产要素价格变化对合同价的影响，可考虑一定的风险系数；所填报价格在合同实施间不因市场变化（或政策性）因素而变动。</w:t>
            </w:r>
          </w:p>
          <w:p w14:paraId="431B0DF6">
            <w:pPr>
              <w:snapToGrid w:val="0"/>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供应商填报的全费用报价包括为完成采购文件要求而发生的全部费用，即标准配件、辅助材料、检测检验、专用工具、运输装卸、调试合格验收、人员培训、售后服务、策划、设计所需的各种费用及必要的保险（含货物保险和人身保险）、利润、税费等费用，及合同明示或暗示的所有责任、义务、风险及成交服务费等所有费用的总和。上述费用均摊在各子项单价中，不单独结算。</w:t>
            </w:r>
          </w:p>
          <w:p w14:paraId="269798B8">
            <w:pPr>
              <w:snapToGrid w:val="0"/>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上述费用描述须包括所有采购材料到指定交货地点的所有费用，采购人不支付除供应商报价的任何附加费用。</w:t>
            </w:r>
          </w:p>
          <w:p w14:paraId="1B82D12B">
            <w:pPr>
              <w:snapToGrid w:val="0"/>
              <w:ind w:firstLine="0" w:firstLineChars="0"/>
              <w:rPr>
                <w:rFonts w:ascii="宋体" w:hAnsi="宋体" w:eastAsia="宋体" w:cs="宋体"/>
                <w:b/>
                <w:color w:val="auto"/>
                <w:szCs w:val="24"/>
                <w:highlight w:val="none"/>
              </w:rPr>
            </w:pPr>
            <w:r>
              <w:rPr>
                <w:rFonts w:hint="eastAsia" w:ascii="宋体" w:hAnsi="宋体" w:eastAsia="宋体" w:cs="宋体"/>
                <w:b/>
                <w:color w:val="auto"/>
                <w:szCs w:val="24"/>
                <w:highlight w:val="none"/>
              </w:rPr>
              <w:t>4、凡供应商在报价中未列的项目或遗漏项目，采购人将一律视为已包括在其报价中，在合同执行中将不予考虑。供应商应根据现场实际情况进行复核服务需求，如服务需求调整视为供应商风险自担，采购人将不再采购报价外追加费用。</w:t>
            </w:r>
          </w:p>
        </w:tc>
      </w:tr>
      <w:tr w14:paraId="401F4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904" w:hRule="atLeast"/>
        </w:trPr>
        <w:tc>
          <w:tcPr>
            <w:tcW w:w="448" w:type="pct"/>
            <w:vAlign w:val="center"/>
          </w:tcPr>
          <w:p w14:paraId="3C2D0732">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935" w:type="pct"/>
            <w:vAlign w:val="center"/>
          </w:tcPr>
          <w:p w14:paraId="50E21230">
            <w:pPr>
              <w:pStyle w:val="105"/>
              <w:widowControl/>
              <w:adjustRightInd w:val="0"/>
              <w:spacing w:line="360" w:lineRule="auto"/>
              <w:ind w:left="0"/>
              <w:jc w:val="center"/>
              <w:rPr>
                <w:rFonts w:ascii="宋体" w:hAnsi="宋体" w:cs="宋体"/>
                <w:color w:val="auto"/>
                <w:szCs w:val="24"/>
                <w:highlight w:val="none"/>
              </w:rPr>
            </w:pPr>
            <w:r>
              <w:rPr>
                <w:rFonts w:hint="eastAsia" w:ascii="宋体" w:hAnsi="宋体" w:cs="宋体"/>
                <w:color w:val="auto"/>
                <w:szCs w:val="24"/>
                <w:highlight w:val="none"/>
              </w:rPr>
              <w:t>报价机会</w:t>
            </w:r>
          </w:p>
        </w:tc>
        <w:tc>
          <w:tcPr>
            <w:tcW w:w="3616" w:type="pct"/>
            <w:vAlign w:val="center"/>
          </w:tcPr>
          <w:p w14:paraId="17981F04">
            <w:pPr>
              <w:ind w:firstLine="0" w:firstLineChars="0"/>
              <w:rPr>
                <w:rFonts w:ascii="宋体" w:hAnsi="宋体" w:eastAsia="宋体" w:cs="宋体"/>
                <w:color w:val="auto"/>
                <w:highlight w:val="none"/>
              </w:rPr>
            </w:pPr>
            <w:r>
              <w:rPr>
                <w:rFonts w:hint="eastAsia" w:ascii="宋体" w:hAnsi="宋体" w:eastAsia="宋体" w:cs="宋体"/>
                <w:color w:val="auto"/>
                <w:highlight w:val="none"/>
              </w:rPr>
              <w:t>通过资格性审查和符合性审查的供应商有再次报价的机会，但每一次报价均应以书面形式确认，价格的评审以最终报价为准。</w:t>
            </w:r>
          </w:p>
          <w:p w14:paraId="555A883E">
            <w:pPr>
              <w:snapToGrid w:val="0"/>
              <w:ind w:firstLine="0" w:firstLineChars="0"/>
              <w:rPr>
                <w:rFonts w:ascii="宋体" w:hAnsi="宋体" w:eastAsia="宋体" w:cs="宋体"/>
                <w:bCs/>
                <w:color w:val="auto"/>
                <w:szCs w:val="24"/>
                <w:highlight w:val="none"/>
              </w:rPr>
            </w:pPr>
            <w:r>
              <w:rPr>
                <w:rFonts w:hint="eastAsia" w:ascii="宋体" w:hAnsi="宋体" w:eastAsia="宋体" w:cs="宋体"/>
                <w:b/>
                <w:color w:val="auto"/>
                <w:highlight w:val="none"/>
              </w:rPr>
              <w:t>注：除磋商过程中采购人代表确认的实质性变动内容，再次报价不得修改首次递交响应文件对供应商须知附表中商务要求作出的响应。</w:t>
            </w:r>
          </w:p>
        </w:tc>
      </w:tr>
      <w:tr w14:paraId="783A1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6816A52F">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p>
        </w:tc>
        <w:tc>
          <w:tcPr>
            <w:tcW w:w="935" w:type="pct"/>
            <w:vAlign w:val="center"/>
          </w:tcPr>
          <w:p w14:paraId="42D07FC3">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响应文件副本份数</w:t>
            </w:r>
          </w:p>
        </w:tc>
        <w:tc>
          <w:tcPr>
            <w:tcW w:w="3616" w:type="pct"/>
            <w:vAlign w:val="center"/>
          </w:tcPr>
          <w:p w14:paraId="288870B8">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正本一份，副本五份，报价一览表一式三份，</w:t>
            </w:r>
            <w:r>
              <w:rPr>
                <w:rFonts w:hint="eastAsia" w:ascii="宋体" w:hAnsi="宋体" w:eastAsia="宋体" w:cs="宋体"/>
                <w:b/>
                <w:bCs/>
                <w:color w:val="auto"/>
                <w:highlight w:val="none"/>
              </w:rPr>
              <w:t>响应文件word版和盖章后扫描版的PDF版电子版响应文件（U盘）一份。</w:t>
            </w:r>
            <w:r>
              <w:rPr>
                <w:rFonts w:hint="eastAsia" w:ascii="宋体" w:hAnsi="宋体" w:eastAsia="宋体" w:cs="宋体"/>
                <w:color w:val="auto"/>
                <w:highlight w:val="none"/>
              </w:rPr>
              <w:t>正本、副本、报价一览表、电子版响应文件分别单独密封。</w:t>
            </w:r>
          </w:p>
          <w:p w14:paraId="234F9EE4">
            <w:pPr>
              <w:ind w:firstLine="0" w:firstLineChars="0"/>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shd w:val="clear" w:fill="D7D7D7" w:themeFill="background1" w:themeFillShade="D8"/>
                <w:lang w:val="en-US" w:eastAsia="zh-CN"/>
              </w:rPr>
              <w:t>供应商如报多个标包的，须根据包号分别编制、装订、密封、递交响应文件，不得将多包响应材料装订为一册。</w:t>
            </w:r>
          </w:p>
        </w:tc>
      </w:tr>
      <w:tr w14:paraId="06321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4D884501">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w:t>
            </w:r>
          </w:p>
        </w:tc>
        <w:tc>
          <w:tcPr>
            <w:tcW w:w="935" w:type="pct"/>
            <w:vAlign w:val="center"/>
          </w:tcPr>
          <w:p w14:paraId="0220305E">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磋商保证金提交时间及金额</w:t>
            </w:r>
          </w:p>
        </w:tc>
        <w:tc>
          <w:tcPr>
            <w:tcW w:w="3616" w:type="pct"/>
            <w:vAlign w:val="center"/>
          </w:tcPr>
          <w:p w14:paraId="63675FBF">
            <w:pPr>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根据鲁财采【2019】40号规定，本项目不向诚信记录良好的供应商收取磋商保证金。</w:t>
            </w:r>
          </w:p>
        </w:tc>
      </w:tr>
      <w:tr w14:paraId="5F3E5E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448" w:type="pct"/>
            <w:vAlign w:val="center"/>
          </w:tcPr>
          <w:p w14:paraId="5DBA8314">
            <w:pPr>
              <w:ind w:firstLine="319" w:firstLineChars="133"/>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p>
        </w:tc>
        <w:tc>
          <w:tcPr>
            <w:tcW w:w="935" w:type="pct"/>
            <w:vAlign w:val="center"/>
          </w:tcPr>
          <w:p w14:paraId="653B6949">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递交响应文件的时间和地点</w:t>
            </w:r>
          </w:p>
        </w:tc>
        <w:tc>
          <w:tcPr>
            <w:tcW w:w="3616" w:type="pct"/>
            <w:vAlign w:val="center"/>
          </w:tcPr>
          <w:p w14:paraId="23C5DE3D">
            <w:pPr>
              <w:ind w:firstLine="0" w:firstLineChars="0"/>
              <w:rPr>
                <w:rFonts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2025年</w:t>
            </w:r>
            <w:r>
              <w:rPr>
                <w:rFonts w:hint="eastAsia" w:ascii="宋体" w:hAnsi="宋体" w:eastAsia="宋体" w:cs="宋体"/>
                <w:color w:val="auto"/>
                <w:highlight w:val="none"/>
                <w:lang w:val="en-US" w:eastAsia="zh-CN"/>
              </w:rPr>
              <w:t>9月15日</w:t>
            </w:r>
            <w:r>
              <w:rPr>
                <w:rFonts w:hint="eastAsia" w:ascii="宋体" w:hAnsi="宋体" w:eastAsia="宋体" w:cs="宋体"/>
                <w:color w:val="auto"/>
                <w:highlight w:val="none"/>
              </w:rPr>
              <w:t>08:30-</w:t>
            </w:r>
            <w:r>
              <w:rPr>
                <w:rFonts w:hint="eastAsia" w:ascii="宋体" w:hAnsi="宋体" w:eastAsia="宋体" w:cs="宋体"/>
                <w:color w:val="auto"/>
                <w:highlight w:val="none"/>
                <w:lang w:eastAsia="zh-CN"/>
              </w:rPr>
              <w:t>09:</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（北京时间）。</w:t>
            </w:r>
          </w:p>
          <w:p w14:paraId="14856DAA">
            <w:pPr>
              <w:ind w:firstLine="0" w:firstLineChars="0"/>
              <w:rPr>
                <w:rFonts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山东省泰安市泰山区天烛峰路282号诺莱国际医学中心21楼会议室。</w:t>
            </w:r>
          </w:p>
        </w:tc>
      </w:tr>
      <w:tr w14:paraId="00BEB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45C3ACEC">
            <w:pPr>
              <w:ind w:firstLine="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9</w:t>
            </w:r>
          </w:p>
        </w:tc>
        <w:tc>
          <w:tcPr>
            <w:tcW w:w="1813" w:type="dxa"/>
            <w:vAlign w:val="center"/>
          </w:tcPr>
          <w:p w14:paraId="7B526446">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报价时间和地点</w:t>
            </w:r>
          </w:p>
        </w:tc>
        <w:tc>
          <w:tcPr>
            <w:tcW w:w="7012" w:type="dxa"/>
            <w:vAlign w:val="center"/>
          </w:tcPr>
          <w:p w14:paraId="4942002F">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GB"/>
              </w:rPr>
              <w:t>根据财政部《政府采购非招标采购方式管理办法》、《政府采购竞争性磋商采购方式管理暂行办法》及其他相关法律法规的规定，对采用非招标方式采购的项目现场不予公布报价。</w:t>
            </w:r>
          </w:p>
        </w:tc>
      </w:tr>
      <w:tr w14:paraId="4065EA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47089A1A">
            <w:pPr>
              <w:ind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20</w:t>
            </w:r>
          </w:p>
        </w:tc>
        <w:tc>
          <w:tcPr>
            <w:tcW w:w="935" w:type="pct"/>
            <w:vAlign w:val="center"/>
          </w:tcPr>
          <w:p w14:paraId="057AE893">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检查响应文件的密封情况</w:t>
            </w:r>
          </w:p>
        </w:tc>
        <w:tc>
          <w:tcPr>
            <w:tcW w:w="3616" w:type="pct"/>
            <w:vAlign w:val="center"/>
          </w:tcPr>
          <w:p w14:paraId="332420F8">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由供应商授权代表、监督人及见证律师一同检查响应文件密封情况</w:t>
            </w:r>
          </w:p>
        </w:tc>
      </w:tr>
      <w:tr w14:paraId="30344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6F492BBB">
            <w:pPr>
              <w:ind w:left="0" w:leftChars="0"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p>
        </w:tc>
        <w:tc>
          <w:tcPr>
            <w:tcW w:w="935" w:type="pct"/>
            <w:vAlign w:val="center"/>
          </w:tcPr>
          <w:p w14:paraId="0F659EFE">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成交服务费收取标准</w:t>
            </w:r>
          </w:p>
        </w:tc>
        <w:tc>
          <w:tcPr>
            <w:tcW w:w="3616" w:type="pct"/>
            <w:vAlign w:val="center"/>
          </w:tcPr>
          <w:p w14:paraId="231FEA23">
            <w:pPr>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成交公告发布后5 个工作日内，成交供应商按《国家发展改革委办公厅关于招标代理服务收费有关问题的通知》（发改办价格〔2003〕857号）和国家计委关于《招标代理服务收费管理暂行办法》（计价格〔2002〕1980号）标准的80%向招标代理公司交纳成交服务费。不足</w:t>
            </w:r>
            <w:r>
              <w:rPr>
                <w:rFonts w:hint="eastAsia" w:ascii="宋体" w:hAnsi="宋体" w:eastAsia="宋体" w:cs="宋体"/>
                <w:bCs/>
                <w:color w:val="auto"/>
                <w:szCs w:val="24"/>
                <w:highlight w:val="none"/>
                <w:lang w:val="en-US" w:eastAsia="zh-CN"/>
              </w:rPr>
              <w:t>8</w:t>
            </w:r>
            <w:r>
              <w:rPr>
                <w:rFonts w:hint="eastAsia" w:ascii="宋体" w:hAnsi="宋体" w:eastAsia="宋体" w:cs="宋体"/>
                <w:bCs/>
                <w:color w:val="auto"/>
                <w:szCs w:val="24"/>
                <w:highlight w:val="none"/>
              </w:rPr>
              <w:t>00元按</w:t>
            </w:r>
            <w:r>
              <w:rPr>
                <w:rFonts w:hint="eastAsia" w:ascii="宋体" w:hAnsi="宋体" w:eastAsia="宋体" w:cs="宋体"/>
                <w:bCs/>
                <w:color w:val="auto"/>
                <w:szCs w:val="24"/>
                <w:highlight w:val="none"/>
                <w:lang w:val="en-US" w:eastAsia="zh-CN"/>
              </w:rPr>
              <w:t>8</w:t>
            </w:r>
            <w:r>
              <w:rPr>
                <w:rFonts w:hint="eastAsia" w:ascii="宋体" w:hAnsi="宋体" w:eastAsia="宋体" w:cs="宋体"/>
                <w:bCs/>
                <w:color w:val="auto"/>
                <w:szCs w:val="24"/>
                <w:highlight w:val="none"/>
              </w:rPr>
              <w:t>00元收取。</w:t>
            </w:r>
          </w:p>
          <w:p w14:paraId="1B401263">
            <w:pPr>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收款单位：山东三木招标有限公司</w:t>
            </w:r>
          </w:p>
          <w:p w14:paraId="3A8EBD67">
            <w:pPr>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开户银行：中国工商银行济南六里山支行</w:t>
            </w:r>
          </w:p>
          <w:p w14:paraId="4AAD753A">
            <w:pPr>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账    号：1602001319200062147</w:t>
            </w:r>
          </w:p>
        </w:tc>
      </w:tr>
      <w:tr w14:paraId="7F405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74C8D6E4">
            <w:pPr>
              <w:ind w:left="0" w:leftChars="0" w:firstLine="24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p>
        </w:tc>
        <w:tc>
          <w:tcPr>
            <w:tcW w:w="935" w:type="pct"/>
            <w:vAlign w:val="center"/>
          </w:tcPr>
          <w:p w14:paraId="0B446F43">
            <w:pPr>
              <w:ind w:firstLine="0" w:firstLineChars="0"/>
              <w:jc w:val="center"/>
              <w:rPr>
                <w:rFonts w:ascii="宋体" w:hAnsi="宋体" w:eastAsia="宋体" w:cs="宋体"/>
                <w:color w:val="auto"/>
                <w:highlight w:val="none"/>
              </w:rPr>
            </w:pPr>
            <w:r>
              <w:rPr>
                <w:rFonts w:hint="eastAsia" w:ascii="宋体" w:hAnsi="宋体" w:eastAsia="宋体" w:cs="宋体"/>
                <w:color w:val="auto"/>
                <w:szCs w:val="21"/>
                <w:highlight w:val="none"/>
                <w:lang w:val="en-GB"/>
              </w:rPr>
              <w:t>公证费/律师见证费收费标准</w:t>
            </w:r>
          </w:p>
        </w:tc>
        <w:tc>
          <w:tcPr>
            <w:tcW w:w="3616" w:type="pct"/>
            <w:vAlign w:val="center"/>
          </w:tcPr>
          <w:p w14:paraId="6E26AE65">
            <w:pPr>
              <w:adjustRightInd w:val="0"/>
              <w:snapToGrid w:val="0"/>
              <w:ind w:firstLine="0" w:firstLineChars="0"/>
              <w:rPr>
                <w:rFonts w:ascii="宋体" w:hAnsi="宋体" w:eastAsia="宋体" w:cs="宋体"/>
                <w:bCs/>
                <w:color w:val="auto"/>
                <w:szCs w:val="24"/>
                <w:highlight w:val="none"/>
              </w:rPr>
            </w:pPr>
            <w:r>
              <w:rPr>
                <w:rFonts w:hint="eastAsia" w:ascii="宋体" w:hAnsi="宋体" w:eastAsia="宋体" w:cs="宋体"/>
                <w:color w:val="auto"/>
                <w:szCs w:val="21"/>
                <w:highlight w:val="none"/>
              </w:rPr>
              <w:t>成交供应商项按成交金额1‰向公证机关/见证律师交纳公证费/见证律师费。</w:t>
            </w:r>
            <w:r>
              <w:rPr>
                <w:rFonts w:hint="eastAsia" w:ascii="宋体" w:hAnsi="宋体" w:eastAsia="宋体" w:cs="宋体"/>
                <w:bCs/>
                <w:color w:val="auto"/>
                <w:szCs w:val="24"/>
                <w:highlight w:val="none"/>
              </w:rPr>
              <w:t>不足500元按500元收取</w:t>
            </w:r>
            <w:r>
              <w:rPr>
                <w:rFonts w:hint="eastAsia" w:ascii="宋体" w:hAnsi="宋体" w:eastAsia="宋体" w:cs="宋体"/>
                <w:color w:val="auto"/>
                <w:szCs w:val="21"/>
                <w:highlight w:val="none"/>
              </w:rPr>
              <w:t>。</w:t>
            </w:r>
          </w:p>
        </w:tc>
      </w:tr>
      <w:tr w14:paraId="28DA57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63F7E622">
            <w:pPr>
              <w:ind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p>
        </w:tc>
        <w:tc>
          <w:tcPr>
            <w:tcW w:w="935" w:type="pct"/>
            <w:vAlign w:val="center"/>
          </w:tcPr>
          <w:p w14:paraId="4E4FC3A7">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磋商文件解释权</w:t>
            </w:r>
          </w:p>
        </w:tc>
        <w:tc>
          <w:tcPr>
            <w:tcW w:w="3616" w:type="pct"/>
            <w:vAlign w:val="center"/>
          </w:tcPr>
          <w:p w14:paraId="0570A15C">
            <w:pPr>
              <w:ind w:firstLine="0" w:firstLineChars="0"/>
              <w:rPr>
                <w:rFonts w:ascii="宋体" w:hAnsi="宋体" w:eastAsia="宋体" w:cs="宋体"/>
                <w:color w:val="auto"/>
                <w:highlight w:val="none"/>
              </w:rPr>
            </w:pPr>
            <w:r>
              <w:rPr>
                <w:rFonts w:hint="eastAsia" w:ascii="宋体" w:hAnsi="宋体" w:eastAsia="宋体" w:cs="宋体"/>
                <w:color w:val="auto"/>
                <w:highlight w:val="none"/>
              </w:rPr>
              <w:t>构成本磋商文件的各个组成文件应互为解释，互为说明；如有不明确或不一致，构成合同文件组成内容的，以合同文件约定内容为准；除磋商文件中有特别规定外，仅适用于磋商阶段的规定。同一部分组成文件中就同一事项的规定或约定不一致的，以编排顺序在后者为准；同一部分组成文件不同版本之间有不一致的，以形成时间在后者为准。按本款前述规定仍不能形成结论的，由采购代理机构负责解释。</w:t>
            </w:r>
          </w:p>
        </w:tc>
      </w:tr>
      <w:tr w14:paraId="75018E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448" w:type="pct"/>
            <w:vAlign w:val="center"/>
          </w:tcPr>
          <w:p w14:paraId="320939F4">
            <w:pPr>
              <w:ind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p>
        </w:tc>
        <w:tc>
          <w:tcPr>
            <w:tcW w:w="935" w:type="pct"/>
            <w:vAlign w:val="center"/>
          </w:tcPr>
          <w:p w14:paraId="32972F4A">
            <w:pPr>
              <w:snapToGrid w:val="0"/>
              <w:ind w:left="0" w:leftChars="0"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GB"/>
              </w:rPr>
              <w:t>付款方式</w:t>
            </w:r>
          </w:p>
        </w:tc>
        <w:tc>
          <w:tcPr>
            <w:tcW w:w="7012" w:type="dxa"/>
            <w:vAlign w:val="center"/>
          </w:tcPr>
          <w:p w14:paraId="224D60FA">
            <w:pPr>
              <w:ind w:firstLine="0" w:firstLineChars="0"/>
              <w:rPr>
                <w:rFonts w:ascii="宋体" w:hAnsi="宋体" w:eastAsia="宋体" w:cs="宋体"/>
                <w:color w:val="auto"/>
                <w:kern w:val="0"/>
                <w:szCs w:val="24"/>
                <w:highlight w:val="none"/>
              </w:rPr>
            </w:pPr>
            <w:bookmarkStart w:id="68" w:name="_Hlk139874241"/>
            <w:r>
              <w:rPr>
                <w:rFonts w:ascii="宋体" w:hAnsi="宋体" w:eastAsia="宋体" w:cs="宋体"/>
                <w:color w:val="auto"/>
                <w:kern w:val="0"/>
                <w:szCs w:val="24"/>
                <w:highlight w:val="none"/>
                <w:lang w:val="zh-CN"/>
              </w:rPr>
              <w:t>本项目无预付款，</w:t>
            </w:r>
            <w:r>
              <w:rPr>
                <w:rFonts w:hint="eastAsia" w:ascii="宋体" w:hAnsi="宋体" w:eastAsia="宋体" w:cs="宋体"/>
                <w:color w:val="auto"/>
                <w:kern w:val="0"/>
                <w:szCs w:val="24"/>
                <w:highlight w:val="none"/>
                <w:lang w:val="en-US" w:eastAsia="zh-CN"/>
              </w:rPr>
              <w:t>据实结算，</w:t>
            </w:r>
            <w:r>
              <w:rPr>
                <w:rFonts w:ascii="宋体" w:hAnsi="宋体" w:eastAsia="宋体" w:cs="宋体"/>
                <w:color w:val="auto"/>
                <w:kern w:val="0"/>
                <w:szCs w:val="24"/>
                <w:highlight w:val="none"/>
                <w:lang w:val="zh-CN"/>
              </w:rPr>
              <w:t>合同签订后</w:t>
            </w:r>
            <w:r>
              <w:rPr>
                <w:rFonts w:hint="eastAsia" w:ascii="宋体" w:hAnsi="宋体" w:eastAsia="宋体" w:cs="宋体"/>
                <w:color w:val="auto"/>
                <w:kern w:val="0"/>
                <w:szCs w:val="24"/>
                <w:highlight w:val="none"/>
                <w:lang w:val="en-US" w:eastAsia="zh-CN"/>
              </w:rPr>
              <w:t>乙方需按照甲方要求分批次供货</w:t>
            </w:r>
            <w:r>
              <w:rPr>
                <w:rFonts w:ascii="宋体" w:hAnsi="宋体" w:eastAsia="宋体" w:cs="宋体"/>
                <w:color w:val="auto"/>
                <w:kern w:val="0"/>
                <w:szCs w:val="24"/>
                <w:highlight w:val="none"/>
                <w:lang w:val="zh-CN"/>
              </w:rPr>
              <w:t>，每批次货到交付后乙方安装调试完毕并经甲、乙双方联合验收合格后，支付实际结算额。</w:t>
            </w:r>
            <w:bookmarkEnd w:id="68"/>
            <w:bookmarkStart w:id="78" w:name="_GoBack"/>
            <w:bookmarkEnd w:id="78"/>
          </w:p>
        </w:tc>
      </w:tr>
      <w:tr w14:paraId="7FC4C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448" w:type="pct"/>
            <w:vAlign w:val="center"/>
          </w:tcPr>
          <w:p w14:paraId="1869165F">
            <w:pPr>
              <w:ind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935" w:type="pct"/>
            <w:vAlign w:val="center"/>
          </w:tcPr>
          <w:p w14:paraId="58EE502C">
            <w:pPr>
              <w:snapToGrid w:val="0"/>
              <w:ind w:left="0" w:leftChars="0"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7012" w:type="dxa"/>
            <w:vAlign w:val="center"/>
          </w:tcPr>
          <w:p w14:paraId="21606605">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1、成交供应商须在签订正式合同后以银行汇票、电汇形式提交给泰山学院;</w:t>
            </w:r>
          </w:p>
          <w:p w14:paraId="5FECF21E">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2、本次采购项目履约保证金为</w:t>
            </w:r>
            <w:r>
              <w:rPr>
                <w:rFonts w:hint="eastAsia" w:ascii="宋体" w:hAnsi="宋体" w:eastAsia="宋体" w:cs="宋体"/>
                <w:color w:val="auto"/>
                <w:sz w:val="24"/>
                <w:szCs w:val="24"/>
                <w:highlight w:val="none"/>
                <w:lang w:val="en-US" w:eastAsia="zh-CN"/>
              </w:rPr>
              <w:t>每包</w:t>
            </w:r>
            <w:r>
              <w:rPr>
                <w:rFonts w:hint="eastAsia" w:ascii="宋体" w:hAnsi="宋体" w:eastAsia="宋体" w:cs="宋体"/>
                <w:color w:val="auto"/>
                <w:sz w:val="24"/>
                <w:szCs w:val="24"/>
                <w:highlight w:val="none"/>
              </w:rPr>
              <w:t>合同总金额的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534F3315">
            <w:pPr>
              <w:ind w:firstLine="0" w:firstLineChars="0"/>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3、设备验收合格</w:t>
            </w:r>
            <w:r>
              <w:rPr>
                <w:rFonts w:hint="eastAsia" w:ascii="宋体" w:hAnsi="宋体" w:eastAsia="宋体" w:cs="宋体"/>
                <w:color w:val="auto"/>
                <w:sz w:val="24"/>
                <w:szCs w:val="24"/>
                <w:highlight w:val="none"/>
                <w:lang w:val="en-US" w:eastAsia="zh-CN"/>
              </w:rPr>
              <w:t>后5个工作日内无息退还。履约保证金退还后，成交供应商</w:t>
            </w:r>
            <w:r>
              <w:rPr>
                <w:rFonts w:hint="eastAsia" w:ascii="宋体" w:hAnsi="宋体" w:eastAsia="宋体" w:cs="宋体"/>
                <w:color w:val="auto"/>
                <w:sz w:val="24"/>
                <w:szCs w:val="24"/>
                <w:highlight w:val="none"/>
              </w:rPr>
              <w:t>不得影响后期服务。</w:t>
            </w:r>
          </w:p>
        </w:tc>
      </w:tr>
      <w:tr w14:paraId="7B5D29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448" w:type="pct"/>
            <w:vAlign w:val="center"/>
          </w:tcPr>
          <w:p w14:paraId="5F106B67">
            <w:pPr>
              <w:ind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p>
        </w:tc>
        <w:tc>
          <w:tcPr>
            <w:tcW w:w="935" w:type="pct"/>
            <w:vAlign w:val="center"/>
          </w:tcPr>
          <w:p w14:paraId="1003A72C">
            <w:pPr>
              <w:adjustRightInd w:val="0"/>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采购标的的验收标准</w:t>
            </w:r>
          </w:p>
        </w:tc>
        <w:tc>
          <w:tcPr>
            <w:tcW w:w="3616" w:type="pct"/>
            <w:vAlign w:val="center"/>
          </w:tcPr>
          <w:p w14:paraId="0574D87C">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货物安装完成正常运行后，由供货商提出验收申请，项目单位同意后，按照学校验收的权限，相关部门及人员形成验收小组，验收小组根据采购文件、</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、合同等项目文件约定内容对项目进行综合运行验收。</w:t>
            </w:r>
          </w:p>
          <w:p w14:paraId="5C51E57B">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如验收达不到规定要求，采购人有权要求更换货物或拒绝付款，成交供应商若违约，采购人将依法追究相应法律责任。</w:t>
            </w:r>
          </w:p>
        </w:tc>
      </w:tr>
      <w:tr w14:paraId="678F9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5AA5673D">
            <w:pPr>
              <w:ind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p>
        </w:tc>
        <w:tc>
          <w:tcPr>
            <w:tcW w:w="935" w:type="pct"/>
            <w:vAlign w:val="center"/>
          </w:tcPr>
          <w:p w14:paraId="582F206D">
            <w:pPr>
              <w:snapToGrid w:val="0"/>
              <w:ind w:firstLine="0" w:firstLineChars="0"/>
              <w:jc w:val="center"/>
              <w:rPr>
                <w:rFonts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技术部分评审依据内容（综合对比）</w:t>
            </w:r>
          </w:p>
        </w:tc>
        <w:tc>
          <w:tcPr>
            <w:tcW w:w="3616" w:type="pct"/>
            <w:vAlign w:val="center"/>
          </w:tcPr>
          <w:p w14:paraId="1E9A9EB6">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1、制造商公开发布的印刷资料或彩页等；</w:t>
            </w:r>
          </w:p>
          <w:p w14:paraId="3604B0F7">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2、检测机构出具的检测报告；</w:t>
            </w:r>
          </w:p>
          <w:p w14:paraId="37320F49">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3、技术响应表；</w:t>
            </w:r>
          </w:p>
          <w:p w14:paraId="206DA67E">
            <w:pPr>
              <w:adjustRightInd w:val="0"/>
              <w:snapToGrid w:val="0"/>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4、投标详细技术描述、建设方案等；</w:t>
            </w:r>
          </w:p>
          <w:p w14:paraId="2CFBA750">
            <w:pPr>
              <w:ind w:firstLine="0" w:firstLineChars="0"/>
              <w:rPr>
                <w:rFonts w:ascii="宋体" w:hAnsi="宋体" w:eastAsia="宋体" w:cs="宋体"/>
                <w:color w:val="auto"/>
                <w:szCs w:val="24"/>
                <w:highlight w:val="none"/>
                <w:lang w:val="en-GB"/>
              </w:rPr>
            </w:pPr>
            <w:r>
              <w:rPr>
                <w:rFonts w:hint="eastAsia" w:ascii="宋体" w:hAnsi="宋体" w:eastAsia="宋体" w:cs="宋体"/>
                <w:color w:val="auto"/>
                <w:szCs w:val="24"/>
                <w:highlight w:val="none"/>
              </w:rPr>
              <w:t>5、评分细则中规定的其他内容。</w:t>
            </w:r>
          </w:p>
        </w:tc>
      </w:tr>
      <w:tr w14:paraId="350D8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448" w:type="pct"/>
            <w:vAlign w:val="center"/>
          </w:tcPr>
          <w:p w14:paraId="0D39722C">
            <w:pPr>
              <w:ind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p>
        </w:tc>
        <w:tc>
          <w:tcPr>
            <w:tcW w:w="935" w:type="pct"/>
            <w:vAlign w:val="center"/>
          </w:tcPr>
          <w:p w14:paraId="0B772BF3">
            <w:pPr>
              <w:adjustRightInd w:val="0"/>
              <w:snapToGrid w:val="0"/>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3616" w:type="pct"/>
            <w:vAlign w:val="center"/>
          </w:tcPr>
          <w:p w14:paraId="51305ED4">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1、供应商所有响应文件的所有权（包括知识产权）归采购人所有。</w:t>
            </w:r>
          </w:p>
          <w:p w14:paraId="41297F88">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2、采购人提供的相关资料只供本次招标活动使用，各供应商应承担保密义务，不得擅自拷贝和传播。</w:t>
            </w:r>
          </w:p>
          <w:p w14:paraId="7964C615">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3、各供应商的调研费、差旅费及所获补偿金、奖金的税费自理。</w:t>
            </w:r>
          </w:p>
          <w:p w14:paraId="2719C608">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4、所有提交成果一律不退回。</w:t>
            </w:r>
          </w:p>
          <w:p w14:paraId="30D0884D">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5、参加本次报价的单位均被视为承认本磋商文件的所有条款，并按磋商文件规定条款完成采购任务和活动。</w:t>
            </w:r>
          </w:p>
        </w:tc>
      </w:tr>
      <w:tr w14:paraId="42B8B4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trPr>
        <w:tc>
          <w:tcPr>
            <w:tcW w:w="1383" w:type="pct"/>
            <w:gridSpan w:val="2"/>
            <w:vAlign w:val="center"/>
          </w:tcPr>
          <w:p w14:paraId="2C1CF864">
            <w:pPr>
              <w:ind w:firstLine="0" w:firstLineChars="0"/>
              <w:jc w:val="center"/>
              <w:rPr>
                <w:rFonts w:ascii="宋体" w:hAnsi="宋体" w:eastAsia="宋体" w:cs="宋体"/>
                <w:color w:val="auto"/>
                <w:highlight w:val="none"/>
              </w:rPr>
            </w:pPr>
            <w:r>
              <w:rPr>
                <w:rFonts w:hint="eastAsia" w:ascii="宋体" w:hAnsi="宋体" w:eastAsia="宋体" w:cs="宋体"/>
                <w:color w:val="auto"/>
                <w:szCs w:val="24"/>
                <w:highlight w:val="none"/>
                <w:lang w:val="en-GB"/>
              </w:rPr>
              <w:t>特别说明</w:t>
            </w:r>
          </w:p>
        </w:tc>
        <w:tc>
          <w:tcPr>
            <w:tcW w:w="3616" w:type="pct"/>
            <w:vAlign w:val="center"/>
          </w:tcPr>
          <w:p w14:paraId="3BB0DCD2">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投标注意事项：</w:t>
            </w:r>
          </w:p>
          <w:p w14:paraId="6C17B8CB">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1、供应商须于报名截止前在中国山东政府采购网（http://www.ccgp-shandong.gov.cn/sdgp2017/site/index.jsp）注册并报名成功。</w:t>
            </w:r>
          </w:p>
          <w:p w14:paraId="6FBDB8B4">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、参与投标活动的供应商应当遵循公平竞争和诚实信用的原则，任何违反公平竞争和诚实信用的行为都将导致投标无效，且依据《中华人民共和国政府采购法》第七十七条进行处罚。</w:t>
            </w:r>
          </w:p>
          <w:p w14:paraId="322A4A84">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、根据财库〔2015〕135号的相关规定，本次采购将对成交供应商的投报价明细表进行成交公示，请供应商务必认真填写，如因填写有误等供应商自身原因引起的质疑等产生的一切后果由供应商承担。</w:t>
            </w:r>
          </w:p>
          <w:p w14:paraId="79CE0008">
            <w:pPr>
              <w:widowControl/>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节能、环保产品，是指列入财政部、国家发展改革委制定的最新《节能产品政府采购品目清单的通知》里的“节能产品政府采购品目清单”内和财政部、生态环境部制定的最新《关于印发环境标志产品政府采购品目清单的通知》“环境标志产品政府采购品目清单”内的产品,具有《国家节能产品认证证书》和《中国环境标志产品认证证书》，且证书在有效期之内。或提供节能产品依据原认证标准获得的、仍在有效期内的认证证书，环境标志产品仍在有效期内的认证证书。</w:t>
            </w:r>
          </w:p>
          <w:p w14:paraId="425F1097">
            <w:pPr>
              <w:widowControl/>
              <w:adjustRightInd w:val="0"/>
              <w:snapToGrid w:val="0"/>
              <w:ind w:firstLine="0" w:firstLineChars="0"/>
              <w:rPr>
                <w:rFonts w:ascii="宋体" w:hAnsi="宋体" w:eastAsia="宋体" w:cs="宋体"/>
                <w:color w:val="auto"/>
                <w:szCs w:val="21"/>
                <w:highlight w:val="none"/>
              </w:rPr>
            </w:pPr>
            <w:r>
              <w:rPr>
                <w:rFonts w:hint="eastAsia" w:ascii="宋体" w:hAnsi="宋体" w:eastAsia="宋体" w:cs="宋体"/>
                <w:b/>
                <w:color w:val="auto"/>
                <w:szCs w:val="21"/>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688D81ED">
            <w:pPr>
              <w:snapToGrid w:val="0"/>
              <w:ind w:firstLine="0" w:firstLineChars="0"/>
              <w:rPr>
                <w:rFonts w:ascii="宋体" w:hAnsi="宋体" w:eastAsia="宋体" w:cs="宋体"/>
                <w:color w:val="auto"/>
                <w:highlight w:val="none"/>
              </w:rPr>
            </w:pPr>
            <w:r>
              <w:rPr>
                <w:rFonts w:hint="eastAsia" w:ascii="宋体" w:hAnsi="宋体" w:eastAsia="宋体" w:cs="宋体"/>
                <w:color w:val="auto"/>
                <w:szCs w:val="21"/>
                <w:highlight w:val="none"/>
              </w:rPr>
              <w:t>6、本项目实行资格后审，报名成功不代表开标结束后通过资格审查。</w:t>
            </w:r>
          </w:p>
        </w:tc>
      </w:tr>
    </w:tbl>
    <w:p w14:paraId="3FC8E6FE">
      <w:pPr>
        <w:ind w:firstLine="480"/>
        <w:rPr>
          <w:rFonts w:ascii="宋体" w:hAnsi="宋体" w:eastAsia="宋体" w:cs="宋体"/>
          <w:color w:val="auto"/>
          <w:highlight w:val="none"/>
        </w:rPr>
      </w:pPr>
      <w:r>
        <w:rPr>
          <w:rFonts w:hint="eastAsia" w:ascii="宋体" w:hAnsi="宋体" w:eastAsia="宋体" w:cs="宋体"/>
          <w:color w:val="auto"/>
          <w:highlight w:val="none"/>
        </w:rPr>
        <w:t>说明：本表内容与磋商文件其他部分内容不一致的，应当以本表内容为准。</w:t>
      </w:r>
    </w:p>
    <w:p w14:paraId="1B287F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BC3239">
      <w:pPr>
        <w:pStyle w:val="2"/>
        <w:ind w:left="0" w:leftChars="0" w:firstLine="0" w:firstLineChars="0"/>
        <w:jc w:val="center"/>
        <w:rPr>
          <w:rFonts w:ascii="宋体" w:hAnsi="宋体" w:eastAsia="宋体" w:cs="宋体"/>
          <w:color w:val="auto"/>
          <w:highlight w:val="none"/>
        </w:rPr>
      </w:pPr>
      <w:bookmarkStart w:id="69" w:name="_Toc18985"/>
      <w:r>
        <w:rPr>
          <w:rFonts w:hint="eastAsia" w:ascii="宋体" w:hAnsi="宋体" w:eastAsia="宋体" w:cs="宋体"/>
          <w:color w:val="auto"/>
          <w:highlight w:val="none"/>
        </w:rPr>
        <w:t>第七部分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评审办法</w:t>
      </w:r>
      <w:bookmarkEnd w:id="69"/>
    </w:p>
    <w:p w14:paraId="6E3262D5">
      <w:pPr>
        <w:pStyle w:val="3"/>
        <w:spacing w:before="4" w:after="4"/>
        <w:ind w:firstLine="602" w:firstLineChars="200"/>
        <w:rPr>
          <w:rFonts w:ascii="宋体" w:hAnsi="宋体" w:eastAsia="宋体" w:cs="宋体"/>
          <w:color w:val="auto"/>
          <w:highlight w:val="none"/>
        </w:rPr>
      </w:pPr>
      <w:bookmarkStart w:id="70" w:name="_Toc18601"/>
      <w:bookmarkStart w:id="71" w:name="_Toc10269"/>
      <w:bookmarkStart w:id="72" w:name="_Toc27352"/>
      <w:r>
        <w:rPr>
          <w:rFonts w:hint="eastAsia" w:ascii="宋体" w:hAnsi="宋体" w:eastAsia="宋体" w:cs="宋体"/>
          <w:color w:val="auto"/>
          <w:highlight w:val="none"/>
        </w:rPr>
        <w:t>一、评审方法</w:t>
      </w:r>
      <w:bookmarkEnd w:id="70"/>
      <w:bookmarkEnd w:id="71"/>
      <w:bookmarkEnd w:id="72"/>
    </w:p>
    <w:p w14:paraId="7D3C54F0">
      <w:pPr>
        <w:ind w:firstLine="480"/>
        <w:rPr>
          <w:rFonts w:ascii="宋体" w:hAnsi="宋体" w:eastAsia="宋体" w:cs="宋体"/>
          <w:color w:val="auto"/>
          <w:highlight w:val="none"/>
        </w:rPr>
      </w:pPr>
      <w:r>
        <w:rPr>
          <w:rFonts w:hint="eastAsia" w:ascii="宋体" w:hAnsi="宋体" w:eastAsia="宋体" w:cs="宋体"/>
          <w:color w:val="auto"/>
          <w:highlight w:val="none"/>
        </w:rPr>
        <w:t>本项目采用综合评分法，响应文件满足磋商文件全部实质性要求且按照评审因素的量化指标评审得分最高的供应商为成交候选人的评标方法。每一供应商的最终得分为所有评委评分的算术平均值。经采购人授权，本项目由磋商小组直接确定成交供应商，综合评分得分最高的供应商为成交供应商。得分相同的，报价较低的一方为成交供应商。得分且报价相同的，技术指标较优的一方为成交供应商。供应商的综合得分分值计算保留到小数点后两位数，第三位数四舍五入；当出现分值相同情况时，则报价低者优先。</w:t>
      </w:r>
    </w:p>
    <w:p w14:paraId="1E0A7498">
      <w:pPr>
        <w:pStyle w:val="3"/>
        <w:spacing w:before="4" w:after="4"/>
        <w:ind w:firstLine="602" w:firstLineChars="200"/>
        <w:rPr>
          <w:rFonts w:hint="eastAsia" w:ascii="宋体" w:hAnsi="宋体" w:eastAsia="宋体" w:cs="宋体"/>
          <w:color w:val="auto"/>
          <w:highlight w:val="none"/>
          <w:lang w:val="en-US" w:eastAsia="zh-CN"/>
        </w:rPr>
      </w:pPr>
      <w:bookmarkStart w:id="73" w:name="_Toc26372"/>
      <w:bookmarkStart w:id="74" w:name="_Toc5024"/>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评分细则</w:t>
      </w:r>
      <w:bookmarkEnd w:id="73"/>
      <w:bookmarkEnd w:id="74"/>
    </w:p>
    <w:tbl>
      <w:tblPr>
        <w:tblStyle w:val="28"/>
        <w:tblpPr w:leftFromText="180" w:rightFromText="180" w:vertAnchor="text" w:horzAnchor="page" w:tblpX="1477" w:tblpY="224"/>
        <w:tblOverlap w:val="never"/>
        <w:tblW w:w="967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7"/>
        <w:gridCol w:w="7433"/>
      </w:tblGrid>
      <w:tr w14:paraId="39C3A9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237" w:type="dxa"/>
            <w:gridSpan w:val="2"/>
            <w:tcBorders>
              <w:tl2br w:val="nil"/>
              <w:tr2bl w:val="nil"/>
            </w:tcBorders>
            <w:vAlign w:val="center"/>
          </w:tcPr>
          <w:p w14:paraId="2C107383">
            <w:pPr>
              <w:ind w:firstLine="0" w:firstLineChars="0"/>
              <w:rPr>
                <w:rFonts w:ascii="宋体" w:hAnsi="宋体" w:eastAsia="宋体" w:cs="宋体"/>
                <w:color w:val="auto"/>
                <w:szCs w:val="24"/>
                <w:highlight w:val="none"/>
              </w:rPr>
            </w:pPr>
            <w:r>
              <w:rPr>
                <w:rFonts w:hint="eastAsia" w:ascii="宋体" w:hAnsi="宋体" w:eastAsia="宋体" w:cs="宋体"/>
                <w:b/>
                <w:bCs/>
                <w:color w:val="auto"/>
                <w:szCs w:val="24"/>
                <w:highlight w:val="none"/>
              </w:rPr>
              <w:t>评审因素及分值</w:t>
            </w:r>
          </w:p>
        </w:tc>
        <w:tc>
          <w:tcPr>
            <w:tcW w:w="7433" w:type="dxa"/>
            <w:tcBorders>
              <w:tl2br w:val="nil"/>
              <w:tr2bl w:val="nil"/>
            </w:tcBorders>
            <w:vAlign w:val="center"/>
          </w:tcPr>
          <w:p w14:paraId="63DFAF61">
            <w:pPr>
              <w:ind w:firstLine="482"/>
              <w:jc w:val="center"/>
              <w:rPr>
                <w:rFonts w:ascii="宋体" w:hAnsi="宋体" w:eastAsia="宋体" w:cs="宋体"/>
                <w:b/>
                <w:bCs/>
                <w:color w:val="auto"/>
                <w:szCs w:val="24"/>
                <w:highlight w:val="none"/>
              </w:rPr>
            </w:pPr>
            <w:r>
              <w:rPr>
                <w:rFonts w:hint="eastAsia" w:ascii="宋体" w:hAnsi="宋体" w:eastAsia="宋体" w:cs="宋体"/>
                <w:b/>
                <w:bCs/>
                <w:color w:val="auto"/>
                <w:szCs w:val="24"/>
                <w:highlight w:val="none"/>
              </w:rPr>
              <w:t>评分细则</w:t>
            </w:r>
          </w:p>
        </w:tc>
      </w:tr>
      <w:tr w14:paraId="25A3A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gridSpan w:val="2"/>
            <w:tcBorders>
              <w:tl2br w:val="nil"/>
              <w:tr2bl w:val="nil"/>
            </w:tcBorders>
            <w:vAlign w:val="center"/>
          </w:tcPr>
          <w:p w14:paraId="21F7BF1E">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报价部分30分</w:t>
            </w:r>
          </w:p>
        </w:tc>
        <w:tc>
          <w:tcPr>
            <w:tcW w:w="7433" w:type="dxa"/>
            <w:tcBorders>
              <w:tl2br w:val="nil"/>
              <w:tr2bl w:val="nil"/>
            </w:tcBorders>
            <w:vAlign w:val="center"/>
          </w:tcPr>
          <w:p w14:paraId="341E9BFA">
            <w:pPr>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经评审全部实质性满足磋商文件要求且投标报价最低的价格为评标基准价，该供应商报价得分为满分30分。其他供应商的报价得分统一按照下列公式计算：</w:t>
            </w:r>
          </w:p>
          <w:p w14:paraId="4F00145D">
            <w:pPr>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报价得分=(评审基准价／供应商报价)×30%×100。（保留小数点后两位）。</w:t>
            </w:r>
          </w:p>
        </w:tc>
      </w:tr>
      <w:tr w14:paraId="3B391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restart"/>
            <w:tcBorders>
              <w:tl2br w:val="nil"/>
              <w:tr2bl w:val="nil"/>
            </w:tcBorders>
            <w:vAlign w:val="center"/>
          </w:tcPr>
          <w:p w14:paraId="71D3A9DC">
            <w:pPr>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技术部分</w:t>
            </w:r>
            <w:r>
              <w:rPr>
                <w:rFonts w:hint="eastAsia" w:ascii="宋体" w:hAnsi="宋体" w:eastAsia="宋体" w:cs="宋体"/>
                <w:color w:val="auto"/>
                <w:szCs w:val="24"/>
                <w:highlight w:val="none"/>
                <w:lang w:val="en-US" w:eastAsia="zh-CN"/>
              </w:rPr>
              <w:t>49</w:t>
            </w:r>
            <w:r>
              <w:rPr>
                <w:rFonts w:hint="eastAsia" w:ascii="宋体" w:hAnsi="宋体" w:eastAsia="宋体" w:cs="宋体"/>
                <w:color w:val="auto"/>
                <w:szCs w:val="24"/>
                <w:highlight w:val="none"/>
              </w:rPr>
              <w:t>分</w:t>
            </w:r>
          </w:p>
        </w:tc>
        <w:tc>
          <w:tcPr>
            <w:tcW w:w="1277" w:type="dxa"/>
            <w:tcBorders>
              <w:tl2br w:val="nil"/>
              <w:tr2bl w:val="nil"/>
            </w:tcBorders>
            <w:vAlign w:val="center"/>
          </w:tcPr>
          <w:p w14:paraId="2D565AC6">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技术参数响应情况</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30EF027D">
            <w:pPr>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评委根据技术偏离程度对采购需求的影响程度对供应商所投货物的技术响应情况进行综合评判，满足磋商文件要求得</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分，由评委认定的，与采购需求相关且优于磋商文件配置或技术性能的指标，技术参数每出现一项负偏离扣 1分，扣完为止。</w:t>
            </w:r>
          </w:p>
        </w:tc>
      </w:tr>
      <w:tr w14:paraId="45C6D4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continue"/>
            <w:tcBorders>
              <w:tl2br w:val="nil"/>
              <w:tr2bl w:val="nil"/>
            </w:tcBorders>
            <w:vAlign w:val="center"/>
          </w:tcPr>
          <w:p w14:paraId="5C2FD7D1">
            <w:pPr>
              <w:ind w:firstLine="480"/>
              <w:jc w:val="center"/>
              <w:rPr>
                <w:rFonts w:ascii="宋体" w:hAnsi="宋体" w:eastAsia="宋体" w:cs="宋体"/>
                <w:color w:val="auto"/>
                <w:szCs w:val="24"/>
                <w:highlight w:val="none"/>
              </w:rPr>
            </w:pPr>
          </w:p>
        </w:tc>
        <w:tc>
          <w:tcPr>
            <w:tcW w:w="1277" w:type="dxa"/>
            <w:tcBorders>
              <w:tl2br w:val="nil"/>
              <w:tr2bl w:val="nil"/>
            </w:tcBorders>
            <w:vAlign w:val="center"/>
          </w:tcPr>
          <w:p w14:paraId="2FEEEEF9">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整体产品性能</w:t>
            </w:r>
            <w:r>
              <w:rPr>
                <w:rFonts w:hint="eastAsia" w:ascii="宋体" w:hAnsi="宋体" w:eastAsia="宋体" w:cs="宋体"/>
                <w:color w:val="auto"/>
                <w:szCs w:val="24"/>
                <w:highlight w:val="none"/>
                <w:lang w:val="en-US" w:eastAsia="zh-CN"/>
              </w:rPr>
              <w:t>28</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71ACEFCB">
            <w:pPr>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从供应商所投产品的整体配置、质量等级、货物选型、后期使用成本高低四个方面进行综合评价，每个方面满分</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分，共</w:t>
            </w:r>
            <w:r>
              <w:rPr>
                <w:rFonts w:hint="eastAsia" w:ascii="宋体" w:hAnsi="宋体" w:eastAsia="宋体" w:cs="宋体"/>
                <w:color w:val="auto"/>
                <w:szCs w:val="24"/>
                <w:highlight w:val="none"/>
                <w:lang w:val="en-US" w:eastAsia="zh-CN"/>
              </w:rPr>
              <w:t>28</w:t>
            </w:r>
            <w:r>
              <w:rPr>
                <w:rFonts w:hint="eastAsia" w:ascii="宋体" w:hAnsi="宋体" w:eastAsia="宋体" w:cs="宋体"/>
                <w:color w:val="auto"/>
                <w:szCs w:val="24"/>
                <w:highlight w:val="none"/>
              </w:rPr>
              <w:t>分，每个方面中每存在1处</w:t>
            </w:r>
            <w:r>
              <w:rPr>
                <w:rFonts w:hint="eastAsia" w:ascii="宋体" w:hAnsi="宋体" w:eastAsia="宋体" w:cs="宋体"/>
                <w:color w:val="auto"/>
                <w:szCs w:val="24"/>
                <w:highlight w:val="none"/>
                <w:lang w:val="en-US" w:eastAsia="zh-CN"/>
              </w:rPr>
              <w:t>不足</w:t>
            </w:r>
            <w:r>
              <w:rPr>
                <w:rFonts w:hint="eastAsia" w:ascii="宋体" w:hAnsi="宋体" w:eastAsia="宋体" w:cs="宋体"/>
                <w:color w:val="auto"/>
                <w:szCs w:val="24"/>
                <w:highlight w:val="none"/>
              </w:rPr>
              <w:t>扣1分，扣完为止。</w:t>
            </w:r>
          </w:p>
        </w:tc>
      </w:tr>
      <w:tr w14:paraId="52A183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Merge w:val="continue"/>
            <w:tcBorders>
              <w:tl2br w:val="nil"/>
              <w:tr2bl w:val="nil"/>
            </w:tcBorders>
            <w:vAlign w:val="center"/>
          </w:tcPr>
          <w:p w14:paraId="13C99DBA">
            <w:pPr>
              <w:ind w:firstLine="480"/>
              <w:jc w:val="center"/>
              <w:rPr>
                <w:rFonts w:ascii="宋体" w:hAnsi="宋体" w:eastAsia="宋体" w:cs="宋体"/>
                <w:color w:val="auto"/>
                <w:szCs w:val="24"/>
                <w:highlight w:val="none"/>
              </w:rPr>
            </w:pPr>
          </w:p>
        </w:tc>
        <w:tc>
          <w:tcPr>
            <w:tcW w:w="1277" w:type="dxa"/>
            <w:tcBorders>
              <w:tl2br w:val="nil"/>
              <w:tr2bl w:val="nil"/>
            </w:tcBorders>
            <w:vAlign w:val="center"/>
          </w:tcPr>
          <w:p w14:paraId="49FE6DB0">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实施方案</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1AE434B7">
            <w:pPr>
              <w:widowControl/>
              <w:ind w:firstLine="48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对供应商提供的项目实施方案进行评价，包括①进货渠道、配送和存储方案；②所投产品的质量保障方案；③项目实施进度、</w:t>
            </w:r>
            <w:r>
              <w:rPr>
                <w:rFonts w:hint="eastAsia" w:ascii="宋体" w:hAnsi="宋体" w:eastAsia="宋体" w:cs="宋体"/>
                <w:color w:val="auto"/>
                <w:kern w:val="0"/>
                <w:szCs w:val="24"/>
                <w:highlight w:val="none"/>
                <w:lang w:bidi="ar"/>
              </w:rPr>
              <w:t>货物调换方</w:t>
            </w:r>
            <w:r>
              <w:rPr>
                <w:rFonts w:hint="eastAsia" w:ascii="宋体" w:hAnsi="宋体" w:eastAsia="宋体" w:cs="宋体"/>
                <w:color w:val="auto"/>
                <w:szCs w:val="24"/>
                <w:highlight w:val="none"/>
              </w:rPr>
              <w:t>案等三项内容进行综合评价，每项内容满分</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分，共</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分，每项内容中没存在1处不足扣1分，扣完为止。</w:t>
            </w:r>
          </w:p>
        </w:tc>
      </w:tr>
      <w:tr w14:paraId="1187F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0" w:type="dxa"/>
            <w:vMerge w:val="restart"/>
            <w:tcBorders>
              <w:tl2br w:val="nil"/>
              <w:tr2bl w:val="nil"/>
            </w:tcBorders>
            <w:vAlign w:val="center"/>
          </w:tcPr>
          <w:p w14:paraId="5855E5D8">
            <w:pPr>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商务部分</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分</w:t>
            </w:r>
          </w:p>
        </w:tc>
        <w:tc>
          <w:tcPr>
            <w:tcW w:w="1277" w:type="dxa"/>
            <w:tcBorders>
              <w:tl2br w:val="nil"/>
              <w:tr2bl w:val="nil"/>
            </w:tcBorders>
            <w:vAlign w:val="center"/>
          </w:tcPr>
          <w:p w14:paraId="014442DB">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业绩</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w:t>
            </w:r>
          </w:p>
        </w:tc>
        <w:tc>
          <w:tcPr>
            <w:tcW w:w="7433" w:type="dxa"/>
            <w:tcBorders>
              <w:tl2br w:val="nil"/>
              <w:tr2bl w:val="nil"/>
            </w:tcBorders>
            <w:vAlign w:val="center"/>
          </w:tcPr>
          <w:p w14:paraId="770141E1">
            <w:pPr>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自202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月1日以来供应商所属的类似销售业绩（以合同签订日期为准）。投标供应商须提供成交通知书（或中标公告的网站截图）、合同，并将以上复印件胶装至响应文件中，二者缺一不得分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未按要求提供的不得分</w:t>
            </w:r>
            <w:r>
              <w:rPr>
                <w:rFonts w:hint="eastAsia" w:ascii="宋体" w:hAnsi="宋体" w:eastAsia="宋体" w:cs="宋体"/>
                <w:color w:val="auto"/>
                <w:szCs w:val="24"/>
                <w:highlight w:val="none"/>
              </w:rPr>
              <w:t>。每份有效业绩得1分，最多得</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分。</w:t>
            </w:r>
          </w:p>
          <w:p w14:paraId="6F5E3A43">
            <w:pPr>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注：合同正文不得覆盖货物品牌、型号及金额等信息，否则，评委有权不予认可。</w:t>
            </w:r>
          </w:p>
        </w:tc>
      </w:tr>
      <w:tr w14:paraId="24C626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0" w:type="dxa"/>
            <w:vMerge w:val="continue"/>
            <w:tcBorders>
              <w:tl2br w:val="nil"/>
              <w:tr2bl w:val="nil"/>
            </w:tcBorders>
            <w:vAlign w:val="center"/>
          </w:tcPr>
          <w:p w14:paraId="6B4E4A3E">
            <w:pPr>
              <w:ind w:firstLine="480"/>
              <w:jc w:val="center"/>
              <w:rPr>
                <w:rFonts w:ascii="宋体" w:hAnsi="宋体" w:eastAsia="宋体" w:cs="宋体"/>
                <w:color w:val="auto"/>
                <w:szCs w:val="24"/>
                <w:highlight w:val="none"/>
              </w:rPr>
            </w:pPr>
          </w:p>
        </w:tc>
        <w:tc>
          <w:tcPr>
            <w:tcW w:w="1277" w:type="dxa"/>
            <w:tcBorders>
              <w:tl2br w:val="nil"/>
              <w:tr2bl w:val="nil"/>
            </w:tcBorders>
            <w:vAlign w:val="center"/>
          </w:tcPr>
          <w:p w14:paraId="44C4FB2A">
            <w:pPr>
              <w:ind w:firstLine="0" w:firstLineChars="0"/>
              <w:jc w:val="center"/>
              <w:rPr>
                <w:rFonts w:ascii="宋体" w:hAnsi="宋体" w:eastAsia="宋体" w:cs="宋体"/>
                <w:color w:val="auto"/>
                <w:szCs w:val="24"/>
                <w:highlight w:val="none"/>
              </w:rPr>
            </w:pPr>
            <w:r>
              <w:rPr>
                <w:rFonts w:hint="eastAsia" w:ascii="宋体" w:hAnsi="宋体" w:eastAsia="宋体" w:cs="宋体"/>
                <w:color w:val="auto"/>
                <w:szCs w:val="24"/>
                <w:highlight w:val="none"/>
              </w:rPr>
              <w:t>售后服务方案15分</w:t>
            </w:r>
          </w:p>
        </w:tc>
        <w:tc>
          <w:tcPr>
            <w:tcW w:w="7433" w:type="dxa"/>
            <w:tcBorders>
              <w:tl2br w:val="nil"/>
              <w:tr2bl w:val="nil"/>
            </w:tcBorders>
            <w:vAlign w:val="center"/>
          </w:tcPr>
          <w:p w14:paraId="5FBE0891">
            <w:pPr>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评委应对供应商针对所投产品提供的①售后服务承诺、②拟投入的人员力量（包括但不限于所投入人员的技术能力、技术资格、人员经验、投入人数等）、③售后响应时间、④备品备件情况方案、⑤应急情况处理措施五项进行综合评价，每项内容满分3分，每项内容中每存在1处不足之处扣1分，扣完为止。</w:t>
            </w:r>
          </w:p>
        </w:tc>
      </w:tr>
    </w:tbl>
    <w:p w14:paraId="0787BB5E">
      <w:pPr>
        <w:pStyle w:val="3"/>
        <w:spacing w:before="4" w:after="4"/>
        <w:ind w:firstLine="602" w:firstLineChars="200"/>
        <w:rPr>
          <w:rFonts w:ascii="宋体" w:hAnsi="宋体" w:eastAsia="宋体" w:cs="宋体"/>
          <w:color w:val="auto"/>
          <w:highlight w:val="none"/>
        </w:rPr>
      </w:pPr>
      <w:bookmarkStart w:id="75" w:name="_Toc28223"/>
      <w:bookmarkStart w:id="76" w:name="_Toc19216"/>
      <w:r>
        <w:rPr>
          <w:rFonts w:hint="eastAsia" w:ascii="宋体" w:hAnsi="宋体" w:eastAsia="宋体" w:cs="宋体"/>
          <w:color w:val="auto"/>
          <w:highlight w:val="none"/>
        </w:rPr>
        <w:t>三、初步审查属于无效报价的条款</w:t>
      </w:r>
      <w:bookmarkEnd w:id="75"/>
      <w:bookmarkEnd w:id="76"/>
    </w:p>
    <w:p w14:paraId="1FCD05F1">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★响应文件有以下情况之一的，在资格性和符合性审查时按无效报价处理，不得进入详细评审阶段：</w:t>
      </w:r>
    </w:p>
    <w:p w14:paraId="534A027E">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1、不具备磋商文件中规定的资格要求的；</w:t>
      </w:r>
    </w:p>
    <w:p w14:paraId="2F554A83">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2、未从采购代理机构报名并取得磋商文件的；</w:t>
      </w:r>
    </w:p>
    <w:p w14:paraId="275323CA">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3、响应文件未按磋商文件规定要求编制、签署、盖章的；</w:t>
      </w:r>
    </w:p>
    <w:p w14:paraId="5616096E">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4、报价有效期不满足磋商文件要求的；</w:t>
      </w:r>
    </w:p>
    <w:p w14:paraId="46C2530E">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5、响应文件含有采购人不能接受的附加条件的；</w:t>
      </w:r>
    </w:p>
    <w:p w14:paraId="4E30CC60">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6、未按磋商文件要求报价的；</w:t>
      </w:r>
    </w:p>
    <w:p w14:paraId="28FD3807">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7、报价超过磋商文件中规定的预算金额或者最高限价的；</w:t>
      </w:r>
    </w:p>
    <w:p w14:paraId="1E847DB3">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8、未经许可，以进口产品参与报价的；</w:t>
      </w:r>
    </w:p>
    <w:p w14:paraId="208828FF">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9、响应文件没有对磋商文件的实质性要求部分（包含供应商须知附表要求部分</w:t>
      </w:r>
      <w:r>
        <w:rPr>
          <w:rFonts w:hint="eastAsia" w:ascii="宋体" w:hAnsi="宋体" w:cs="宋体"/>
          <w:color w:val="auto"/>
          <w:sz w:val="24"/>
          <w:szCs w:val="24"/>
          <w:highlight w:val="none"/>
          <w:lang w:val="en-US" w:eastAsia="zh-CN"/>
        </w:rPr>
        <w:t>,如供货期、质保期等</w:t>
      </w:r>
      <w:r>
        <w:rPr>
          <w:rFonts w:hint="eastAsia" w:ascii="宋体" w:hAnsi="宋体" w:cs="宋体"/>
          <w:color w:val="auto"/>
          <w:sz w:val="24"/>
          <w:szCs w:val="24"/>
          <w:highlight w:val="none"/>
        </w:rPr>
        <w:t>）和条件或标注★部分作出响应或响应不全面、不规范的；</w:t>
      </w:r>
    </w:p>
    <w:p w14:paraId="3FCA5174">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10、有重大偏离且采购人不能接受的；</w:t>
      </w:r>
    </w:p>
    <w:p w14:paraId="7713C5C9">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11、不提供磋商文件要求的任何形式技术资料的；</w:t>
      </w:r>
    </w:p>
    <w:p w14:paraId="467F1671">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12、同一供应商提交两个以上不同的响应文件或者报价，但磋商文件要求提交备选方案的除外；</w:t>
      </w:r>
    </w:p>
    <w:p w14:paraId="5D78D3BB">
      <w:pPr>
        <w:pStyle w:val="114"/>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13、法律、法规和磋商文件规定的其他无效情形。</w:t>
      </w:r>
    </w:p>
    <w:p w14:paraId="4140AC4E">
      <w:pPr>
        <w:pStyle w:val="114"/>
        <w:spacing w:line="360" w:lineRule="auto"/>
        <w:ind w:firstLine="480"/>
        <w:rPr>
          <w:rFonts w:ascii="宋体" w:hAnsi="宋体" w:cs="宋体"/>
          <w:color w:val="auto"/>
          <w:highlight w:val="none"/>
        </w:rPr>
        <w:sectPr>
          <w:footerReference r:id="rId13" w:type="default"/>
          <w:pgSz w:w="11906" w:h="16838"/>
          <w:pgMar w:top="1134" w:right="1134" w:bottom="1134" w:left="1134" w:header="567" w:footer="992" w:gutter="0"/>
          <w:pgBorders>
            <w:top w:val="none" w:sz="0" w:space="0"/>
            <w:left w:val="none" w:sz="0" w:space="0"/>
            <w:bottom w:val="none" w:sz="0" w:space="0"/>
            <w:right w:val="none" w:sz="0" w:space="0"/>
          </w:pgBorders>
          <w:pgNumType w:fmt="decimal" w:start="1"/>
          <w:cols w:space="425" w:num="1"/>
          <w:docGrid w:linePitch="326" w:charSpace="0"/>
        </w:sectPr>
      </w:pPr>
    </w:p>
    <w:p w14:paraId="4C446401">
      <w:pPr>
        <w:pStyle w:val="2"/>
        <w:numPr>
          <w:ilvl w:val="0"/>
          <w:numId w:val="0"/>
        </w:numPr>
        <w:jc w:val="center"/>
        <w:rPr>
          <w:rFonts w:ascii="宋体" w:hAnsi="宋体" w:eastAsia="宋体" w:cs="宋体"/>
          <w:color w:val="auto"/>
          <w:highlight w:val="none"/>
        </w:rPr>
      </w:pPr>
      <w:bookmarkStart w:id="77" w:name="_Toc31619"/>
      <w:r>
        <w:rPr>
          <w:rFonts w:hint="eastAsia" w:ascii="宋体" w:hAnsi="宋体" w:eastAsia="宋体" w:cs="宋体"/>
          <w:color w:val="auto"/>
          <w:highlight w:val="none"/>
          <w:lang w:val="en-US" w:eastAsia="zh-CN"/>
        </w:rPr>
        <w:t xml:space="preserve">第八部分  </w:t>
      </w:r>
      <w:r>
        <w:rPr>
          <w:rFonts w:hint="eastAsia" w:ascii="宋体" w:hAnsi="宋体" w:eastAsia="宋体" w:cs="宋体"/>
          <w:color w:val="auto"/>
          <w:highlight w:val="none"/>
        </w:rPr>
        <w:t>技术要求及说明</w:t>
      </w:r>
      <w:bookmarkEnd w:id="77"/>
    </w:p>
    <w:p w14:paraId="4A68AADD">
      <w:pPr>
        <w:numPr>
          <w:ilvl w:val="0"/>
          <w:numId w:val="1"/>
        </w:numPr>
        <w:ind w:firstLine="602"/>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项目分包及预算情况：</w:t>
      </w:r>
    </w:p>
    <w:tbl>
      <w:tblPr>
        <w:tblStyle w:val="29"/>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464"/>
        <w:gridCol w:w="1391"/>
        <w:gridCol w:w="2328"/>
        <w:gridCol w:w="2209"/>
      </w:tblGrid>
      <w:tr w14:paraId="1A93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0" w:type="dxa"/>
            <w:vAlign w:val="center"/>
          </w:tcPr>
          <w:p w14:paraId="1DEFD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包号</w:t>
            </w:r>
          </w:p>
        </w:tc>
        <w:tc>
          <w:tcPr>
            <w:tcW w:w="3464" w:type="dxa"/>
            <w:vAlign w:val="center"/>
          </w:tcPr>
          <w:p w14:paraId="1EAC13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标的名称</w:t>
            </w:r>
          </w:p>
        </w:tc>
        <w:tc>
          <w:tcPr>
            <w:tcW w:w="1391" w:type="dxa"/>
            <w:vAlign w:val="center"/>
          </w:tcPr>
          <w:p w14:paraId="7D430D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2328" w:type="dxa"/>
            <w:vAlign w:val="center"/>
          </w:tcPr>
          <w:p w14:paraId="662CD8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简要技术需求或服务要求</w:t>
            </w:r>
          </w:p>
        </w:tc>
        <w:tc>
          <w:tcPr>
            <w:tcW w:w="2209" w:type="dxa"/>
            <w:vAlign w:val="center"/>
          </w:tcPr>
          <w:p w14:paraId="03063C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本包预算金额</w:t>
            </w:r>
          </w:p>
          <w:p w14:paraId="3FE35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（单位：万元）</w:t>
            </w:r>
          </w:p>
        </w:tc>
      </w:tr>
      <w:tr w14:paraId="572A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0" w:type="dxa"/>
            <w:vAlign w:val="center"/>
          </w:tcPr>
          <w:p w14:paraId="749152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1</w:t>
            </w:r>
          </w:p>
        </w:tc>
        <w:tc>
          <w:tcPr>
            <w:tcW w:w="3464" w:type="dxa"/>
            <w:vAlign w:val="center"/>
          </w:tcPr>
          <w:p w14:paraId="62F22A6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体育学院实验器材</w:t>
            </w:r>
          </w:p>
        </w:tc>
        <w:tc>
          <w:tcPr>
            <w:tcW w:w="1391" w:type="dxa"/>
            <w:vAlign w:val="center"/>
          </w:tcPr>
          <w:p w14:paraId="4C2030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1</w:t>
            </w:r>
          </w:p>
        </w:tc>
        <w:tc>
          <w:tcPr>
            <w:tcW w:w="2328" w:type="dxa"/>
            <w:vAlign w:val="center"/>
          </w:tcPr>
          <w:p w14:paraId="7C94E8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详见本册文件</w:t>
            </w:r>
          </w:p>
        </w:tc>
        <w:tc>
          <w:tcPr>
            <w:tcW w:w="2209" w:type="dxa"/>
            <w:vAlign w:val="center"/>
          </w:tcPr>
          <w:p w14:paraId="5B5174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tr w14:paraId="0689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64" w:type="dxa"/>
            <w:gridSpan w:val="2"/>
            <w:vAlign w:val="center"/>
          </w:tcPr>
          <w:p w14:paraId="212508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总价</w:t>
            </w:r>
          </w:p>
        </w:tc>
        <w:tc>
          <w:tcPr>
            <w:tcW w:w="3719" w:type="dxa"/>
            <w:gridSpan w:val="2"/>
            <w:vAlign w:val="center"/>
          </w:tcPr>
          <w:p w14:paraId="480834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auto"/>
                <w:sz w:val="24"/>
                <w:szCs w:val="24"/>
                <w:highlight w:val="none"/>
                <w:vertAlign w:val="baseline"/>
                <w:lang w:val="en-US" w:eastAsia="zh-CN"/>
              </w:rPr>
            </w:pPr>
          </w:p>
        </w:tc>
        <w:tc>
          <w:tcPr>
            <w:tcW w:w="2209" w:type="dxa"/>
            <w:vAlign w:val="center"/>
          </w:tcPr>
          <w:p w14:paraId="73C08823">
            <w:pPr>
              <w:keepNext w:val="0"/>
              <w:keepLines w:val="0"/>
              <w:pageBreakBefore w:val="0"/>
              <w:widowControl w:val="0"/>
              <w:tabs>
                <w:tab w:val="left" w:pos="352"/>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vertAlign w:val="baseline"/>
                <w:lang w:val="en-US" w:eastAsia="zh-CN"/>
              </w:rPr>
              <w:t>9.90</w:t>
            </w:r>
          </w:p>
        </w:tc>
      </w:tr>
    </w:tbl>
    <w:p w14:paraId="4527BB06">
      <w:pPr>
        <w:spacing w:line="360" w:lineRule="auto"/>
        <w:ind w:firstLine="482"/>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备注：本项目为交钥匙项目。</w:t>
      </w:r>
    </w:p>
    <w:p w14:paraId="4F0A5888">
      <w:pPr>
        <w:numPr>
          <w:ilvl w:val="0"/>
          <w:numId w:val="1"/>
        </w:numPr>
        <w:ind w:firstLine="60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技术需求：</w:t>
      </w:r>
    </w:p>
    <w:p w14:paraId="0554F103">
      <w:pPr>
        <w:pStyle w:val="26"/>
        <w:tabs>
          <w:tab w:val="left" w:pos="211"/>
        </w:tabs>
        <w:ind w:left="0" w:leftChars="0" w:firstLine="0" w:firstLineChars="0"/>
        <w:rPr>
          <w:rFonts w:hint="default" w:ascii="宋体" w:hAnsi="宋体" w:cs="宋体"/>
          <w:b/>
          <w:bCs/>
          <w:i w:val="0"/>
          <w:iCs w:val="0"/>
          <w:color w:val="auto"/>
          <w:kern w:val="0"/>
          <w:sz w:val="24"/>
          <w:szCs w:val="24"/>
          <w:highlight w:val="none"/>
          <w:u w:val="none"/>
          <w:shd w:val="clear" w:color="FFFFFF" w:fill="D9D9D9"/>
          <w:lang w:val="en-US" w:eastAsia="zh-CN" w:bidi="ar"/>
        </w:rPr>
      </w:pPr>
      <w:r>
        <w:rPr>
          <w:rFonts w:hint="eastAsia" w:ascii="宋体" w:hAnsi="宋体" w:cs="宋体"/>
          <w:b/>
          <w:bCs/>
          <w:i w:val="0"/>
          <w:iCs w:val="0"/>
          <w:color w:val="auto"/>
          <w:kern w:val="0"/>
          <w:sz w:val="24"/>
          <w:szCs w:val="24"/>
          <w:highlight w:val="none"/>
          <w:u w:val="none"/>
          <w:shd w:val="clear" w:color="FFFFFF" w:fill="D9D9D9"/>
          <w:lang w:val="en-US" w:eastAsia="zh-CN" w:bidi="ar"/>
        </w:rPr>
        <w:t>1包：体育学院实验器材清单明细                          预算金额：：9.90万元</w:t>
      </w:r>
    </w:p>
    <w:tbl>
      <w:tblPr>
        <w:tblStyle w:val="28"/>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2056"/>
        <w:gridCol w:w="3620"/>
        <w:gridCol w:w="586"/>
        <w:gridCol w:w="581"/>
        <w:gridCol w:w="882"/>
        <w:gridCol w:w="862"/>
        <w:gridCol w:w="585"/>
      </w:tblGrid>
      <w:tr w14:paraId="4EF7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FA58">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C6E">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2166">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简要指标参数或要求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3172">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FF6">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3DA7">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预算单价（元）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F22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43D">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是否进口</w:t>
            </w:r>
          </w:p>
        </w:tc>
      </w:tr>
      <w:tr w14:paraId="0C37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8DD81">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F30F8">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shd w:val="clear"/>
                <w:lang w:val="en-US" w:eastAsia="zh-CN" w:bidi="ar"/>
              </w:rPr>
              <w:t>运动负荷实验测试系统</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AE23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（一）、心电采集硬件技术参数</w:t>
            </w:r>
          </w:p>
          <w:p w14:paraId="40C0B51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1、采集设备为蓝牙与有线二合一式采集设备：即可使用有线式方式进行数据采集及传输，也可使用蓝牙无线进行数据采集及传输。</w:t>
            </w:r>
          </w:p>
          <w:p w14:paraId="38F0852C">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2、导联：≥12导联。</w:t>
            </w:r>
          </w:p>
          <w:p w14:paraId="5B03727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3、具有起搏器检测功能：幅值 ≥ 2 mV，持续时间 ≥ 200 µs；</w:t>
            </w:r>
          </w:p>
          <w:p w14:paraId="067BEED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4、采样频率：10000Hz/通道；</w:t>
            </w:r>
          </w:p>
          <w:p w14:paraId="0EE755BE">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5、动态范围：± 300mV DC；</w:t>
            </w:r>
          </w:p>
          <w:p w14:paraId="6E3ADB1E">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6、采样精度：24位；</w:t>
            </w:r>
          </w:p>
          <w:p w14:paraId="5B0992F3">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7、输入回路电流：各输入回路电流不大于0.1μA；</w:t>
            </w:r>
          </w:p>
          <w:p w14:paraId="4D038CB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8、输入阻抗：各输入回路之间的输入阻抗&gt;10MΩ；</w:t>
            </w:r>
          </w:p>
          <w:p w14:paraId="7779B0D6">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9、噪音电平：折合到输入端的噪声电压不大于10μVp-p；</w:t>
            </w:r>
          </w:p>
          <w:p w14:paraId="47AF8E6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10、耐极化电压：加±300mV的直流极化电压；</w:t>
            </w:r>
          </w:p>
          <w:p w14:paraId="687E43AC">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11、共模抑制比：大于89dB；</w:t>
            </w:r>
          </w:p>
          <w:p w14:paraId="4A64FD7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12、低频特性：时间常数不小于3.2s；</w:t>
            </w:r>
          </w:p>
          <w:p w14:paraId="5D6EB2A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13、频域带宽：0.05 Hz - 410 Hz；</w:t>
            </w:r>
          </w:p>
          <w:p w14:paraId="110FF5F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14、设备安全分类：II类CF型；</w:t>
            </w:r>
          </w:p>
          <w:p w14:paraId="1C70D402">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15、50Hz干扰抑制滤波器  ≥20dB；</w:t>
            </w:r>
          </w:p>
          <w:p w14:paraId="68F49B3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（二）、运动跑台技术参数</w:t>
            </w:r>
          </w:p>
          <w:p w14:paraId="61A7809E">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1、马达：超静音交流马达。</w:t>
            </w:r>
          </w:p>
          <w:p w14:paraId="0B32917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2、控制器：矢量变频调速。</w:t>
            </w:r>
          </w:p>
          <w:p w14:paraId="79F2E1B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3、履带尺寸：≥500×3200mm (宽×周长)。</w:t>
            </w:r>
          </w:p>
          <w:p w14:paraId="7F7659C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4、速度：0～20Km/h。</w:t>
            </w:r>
          </w:p>
          <w:p w14:paraId="09CB2A1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5、坡度：0%～25%。</w:t>
            </w:r>
          </w:p>
          <w:p w14:paraId="12C6984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6、履带技术：采用履带保直技术，无需校正。</w:t>
            </w:r>
          </w:p>
          <w:p w14:paraId="40A5997A">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7、具有拉线急停、按钮急停(双急停)功能。</w:t>
            </w:r>
          </w:p>
          <w:p w14:paraId="47D6C0E7">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8、具有过流、短路保护功能。</w:t>
            </w:r>
          </w:p>
          <w:p w14:paraId="6EDB18AC">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9、采用耐磨弹性跑板，具有减震功能。</w:t>
            </w:r>
          </w:p>
          <w:p w14:paraId="32202EC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10、超低步入高度：18cm</w:t>
            </w:r>
          </w:p>
          <w:p w14:paraId="7F5F92B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（三）、软件技术参数</w:t>
            </w:r>
          </w:p>
          <w:p w14:paraId="15DEF9F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自适应基线抗漂移技术，能保证运动情况下稳定回放清晰准确的ECG信号；</w:t>
            </w:r>
          </w:p>
          <w:p w14:paraId="55DA3DDA">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自适应工频滤波技术，能在保留原始ECG信息的同时滤除工频干扰信号；</w:t>
            </w:r>
          </w:p>
          <w:p w14:paraId="1BDE1102">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预设常用的≥20种运动平板及脚踏车试验方案，用户可自定义添加设定个性化试验方案；</w:t>
            </w:r>
          </w:p>
          <w:p w14:paraId="6112FA6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测量过程中，可按照需求动态调整波形速度、增益、显示布局、滤波参数等信息；</w:t>
            </w:r>
          </w:p>
          <w:p w14:paraId="68656FC6">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测量过程中，提供实时的图形化导联脱落信息，指明导联脱落的位置；</w:t>
            </w:r>
          </w:p>
          <w:p w14:paraId="03E1FA7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测量过程中，可手动/自动调整ST段测量点位置；</w:t>
            </w:r>
          </w:p>
          <w:p w14:paraId="288972D0">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测量过程中，可自动/手动控制运动平板的速度和坡度以及脚踏车的功率；</w:t>
            </w:r>
          </w:p>
          <w:p w14:paraId="3F2D1655">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 xml:space="preserve">测量过程中，提供实时运动试验数据趋势图，包括运动平板速度和斜率趋势图、脚踏车实时功率趋势图、心率/血压趋势图以及12导联ST段变化趋势图等； </w:t>
            </w:r>
          </w:p>
          <w:p w14:paraId="49BA015F">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可单独查看放大的QRS波形图，以及12导联QRS放大叠加图；</w:t>
            </w:r>
          </w:p>
          <w:p w14:paraId="395E3A11">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10、提供S-T幅值、S-T斜率、ST/HR斜率、ST/HR指数等参数及趋势图显示；</w:t>
            </w:r>
          </w:p>
          <w:p w14:paraId="1CCDD84D">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11、提供心律失常自动分析检测统计；</w:t>
            </w:r>
          </w:p>
          <w:p w14:paraId="5F41950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12、支持多种运动平板和踏车，具有多种运动平板协议。</w:t>
            </w:r>
          </w:p>
          <w:p w14:paraId="344C3CEA">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13、可自定义报告打印显示。</w:t>
            </w:r>
          </w:p>
          <w:p w14:paraId="4307BBD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14、可实时打印心电波形便于查看。</w:t>
            </w:r>
          </w:p>
          <w:p w14:paraId="61D0D20B">
            <w:pPr>
              <w:keepNext w:val="0"/>
              <w:keepLines w:val="0"/>
              <w:widowControl/>
              <w:suppressLineNumbers w:val="0"/>
              <w:spacing w:line="360" w:lineRule="auto"/>
              <w:ind w:left="0" w:leftChars="0" w:firstLine="0" w:firstLineChars="0"/>
              <w:jc w:val="left"/>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15、可与运动血压无缝连接，可设定自动每阶段测压或手动测压自动录入等功能。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A74CF">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C08C6">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CCE9E">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FE3C">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B7B25">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否</w:t>
            </w:r>
          </w:p>
        </w:tc>
      </w:tr>
      <w:tr w14:paraId="7689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2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E901861">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合计（元）</w:t>
            </w:r>
          </w:p>
        </w:tc>
        <w:tc>
          <w:tcPr>
            <w:tcW w:w="349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796F9A1">
            <w:pPr>
              <w:keepNext w:val="0"/>
              <w:keepLines w:val="0"/>
              <w:widowControl/>
              <w:suppressLineNumbers w:val="0"/>
              <w:spacing w:line="360" w:lineRule="auto"/>
              <w:ind w:left="0" w:leftChars="0" w:firstLine="0" w:firstLineChars="0"/>
              <w:jc w:val="center"/>
              <w:textAlignment w:val="bottom"/>
              <w:rPr>
                <w:rFonts w:hint="eastAsia" w:ascii="宋体" w:hAnsi="宋体" w:eastAsia="宋体" w:cs="宋体"/>
                <w:b w:val="0"/>
                <w:bCs w:val="0"/>
                <w:i w:val="0"/>
                <w:iCs w:val="0"/>
                <w:color w:val="000000"/>
                <w:kern w:val="0"/>
                <w:sz w:val="21"/>
                <w:szCs w:val="21"/>
                <w:u w:val="none"/>
                <w:lang w:val="en-US" w:eastAsia="zh-CN" w:bidi="ar"/>
              </w:rPr>
            </w:pPr>
          </w:p>
        </w:tc>
      </w:tr>
    </w:tbl>
    <w:p w14:paraId="12707AC1">
      <w:pPr>
        <w:numPr>
          <w:ilvl w:val="0"/>
          <w:numId w:val="0"/>
        </w:numPr>
        <w:spacing w:line="360" w:lineRule="auto"/>
        <w:jc w:val="both"/>
        <w:rPr>
          <w:rFonts w:hint="eastAsia" w:ascii="宋体" w:hAnsi="宋体" w:eastAsia="宋体" w:cs="宋体"/>
          <w:b/>
          <w:color w:val="auto"/>
          <w:sz w:val="24"/>
          <w:szCs w:val="24"/>
          <w:highlight w:val="none"/>
        </w:rPr>
      </w:pPr>
    </w:p>
    <w:p w14:paraId="08D845F4">
      <w:pPr>
        <w:numPr>
          <w:ilvl w:val="0"/>
          <w:numId w:val="0"/>
        </w:num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质量要求</w:t>
      </w:r>
      <w:r>
        <w:rPr>
          <w:rFonts w:hint="eastAsia" w:ascii="宋体" w:hAnsi="宋体" w:eastAsia="宋体" w:cs="宋体"/>
          <w:b/>
          <w:color w:val="auto"/>
          <w:sz w:val="24"/>
          <w:szCs w:val="24"/>
          <w:highlight w:val="none"/>
          <w:lang w:val="en-US" w:eastAsia="zh-CN"/>
        </w:rPr>
        <w:t>及售后服务要求：</w:t>
      </w:r>
    </w:p>
    <w:p w14:paraId="70CF94C5">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对运输过程中所造成的损坏、受潮及其他原因造成的损坏免费更换。</w:t>
      </w:r>
    </w:p>
    <w:p w14:paraId="668B3AEE">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经验收后认为不符合要求的产品免费更换。</w:t>
      </w:r>
    </w:p>
    <w:p w14:paraId="0660B5EC">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如货物出现问题，成交供应商应在接采购人通知2小时内做出响应，在24小时内答复，48小时内解决问题，不影响采购人正常使用。</w:t>
      </w:r>
    </w:p>
    <w:p w14:paraId="5148F332">
      <w:pPr>
        <w:pStyle w:val="26"/>
        <w:tabs>
          <w:tab w:val="left" w:pos="211"/>
        </w:tabs>
        <w:ind w:left="0" w:leftChars="0" w:firstLine="0" w:firstLineChars="0"/>
        <w:rPr>
          <w:rFonts w:hint="default" w:ascii="宋体" w:hAnsi="宋体" w:cs="宋体"/>
          <w:b/>
          <w:bCs/>
          <w:i w:val="0"/>
          <w:iCs w:val="0"/>
          <w:color w:val="auto"/>
          <w:kern w:val="0"/>
          <w:sz w:val="24"/>
          <w:szCs w:val="24"/>
          <w:highlight w:val="none"/>
          <w:u w:val="single"/>
          <w:lang w:val="en-US" w:eastAsia="zh-CN" w:bidi="ar"/>
        </w:rPr>
      </w:pPr>
    </w:p>
    <w:p w14:paraId="265E7846">
      <w:pPr>
        <w:pStyle w:val="26"/>
        <w:tabs>
          <w:tab w:val="left" w:pos="211"/>
        </w:tabs>
        <w:ind w:left="0" w:leftChars="0" w:firstLine="0" w:firstLineChars="0"/>
        <w:rPr>
          <w:rFonts w:hint="default" w:ascii="宋体" w:hAnsi="宋体" w:cs="宋体"/>
          <w:b/>
          <w:bCs/>
          <w:i w:val="0"/>
          <w:iCs w:val="0"/>
          <w:color w:val="auto"/>
          <w:kern w:val="0"/>
          <w:sz w:val="24"/>
          <w:szCs w:val="24"/>
          <w:highlight w:val="none"/>
          <w:u w:val="single"/>
          <w:lang w:val="en-US" w:eastAsia="zh-CN" w:bidi="ar"/>
        </w:rPr>
      </w:pPr>
    </w:p>
    <w:sectPr>
      <w:footerReference r:id="rId17" w:type="first"/>
      <w:footerReference r:id="rId15" w:type="default"/>
      <w:headerReference r:id="rId14" w:type="even"/>
      <w:footerReference r:id="rId16" w:type="even"/>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Univers LT Std 45 Light">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E334">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2FAF">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C89A">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39E4">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D508">
    <w:pPr>
      <w:pStyle w:val="1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B670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B6701">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C8F7">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5BB24">
                          <w:pPr>
                            <w:pStyle w:val="1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55BB24">
                    <w:pPr>
                      <w:pStyle w:val="17"/>
                    </w:pPr>
                    <w:r>
                      <w:fldChar w:fldCharType="begin"/>
                    </w:r>
                    <w:r>
                      <w:instrText xml:space="preserve"> PAGE  \* MERGEFORMAT </w:instrText>
                    </w:r>
                    <w:r>
                      <w:fldChar w:fldCharType="separate"/>
                    </w:r>
                    <w:r>
                      <w:t>11</w:t>
                    </w:r>
                    <w:r>
                      <w:fldChar w:fldCharType="end"/>
                    </w:r>
                  </w:p>
                </w:txbxContent>
              </v:textbox>
            </v:shape>
          </w:pict>
        </mc:Fallback>
      </mc:AlternateContent>
    </w:r>
  </w:p>
  <w:p w14:paraId="1435B9E1">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E873">
    <w:pPr>
      <w:pStyle w:val="17"/>
      <w:framePr w:wrap="around" w:vAnchor="text" w:hAnchor="margin" w:xAlign="center" w:y="1"/>
      <w:ind w:firstLine="360"/>
      <w:rPr>
        <w:rStyle w:val="32"/>
      </w:rPr>
    </w:pPr>
    <w:r>
      <w:fldChar w:fldCharType="begin"/>
    </w:r>
    <w:r>
      <w:rPr>
        <w:rStyle w:val="32"/>
      </w:rPr>
      <w:instrText xml:space="preserve">PAGE  </w:instrText>
    </w:r>
    <w:r>
      <w:fldChar w:fldCharType="separate"/>
    </w:r>
    <w:r>
      <w:rPr>
        <w:rStyle w:val="32"/>
      </w:rPr>
      <w:t>12</w:t>
    </w:r>
    <w:r>
      <w:fldChar w:fldCharType="end"/>
    </w:r>
  </w:p>
  <w:p w14:paraId="09D9C416">
    <w:pPr>
      <w:pStyle w:val="17"/>
      <w:ind w:firstLine="360"/>
    </w:pPr>
  </w:p>
  <w:p w14:paraId="77C860E0">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B3DD7">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9F7CD">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19F7CD">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AF209">
    <w:pPr>
      <w:pStyle w:val="18"/>
      <w:pBdr>
        <w:bottom w:val="none" w:color="auto" w:sz="0" w:space="0"/>
      </w:pBdr>
      <w:tabs>
        <w:tab w:val="right" w:pos="8306"/>
        <w:tab w:val="clear" w:pos="8610"/>
      </w:tabs>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575F">
    <w:pPr>
      <w:pStyle w:val="18"/>
      <w:pBdr>
        <w:bottom w:val="none" w:color="auto" w:sz="0" w:space="0"/>
      </w:pBdr>
      <w:tabs>
        <w:tab w:val="right" w:pos="8306"/>
        <w:tab w:val="clear" w:pos="8610"/>
      </w:tabs>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9E7B">
    <w:pPr>
      <w:pStyle w:val="18"/>
      <w:ind w:firstLine="2200" w:firstLineChars="1100"/>
    </w:pPr>
    <w:r>
      <w:rPr>
        <w:rFonts w:hint="eastAsia"/>
        <w:lang w:eastAsia="zh-CN"/>
      </w:rPr>
      <w:t>泰山学院2024年实验耗材采购项目（21198）</w:t>
    </w:r>
    <w:r>
      <w:rPr>
        <w:rFonts w:hint="eastAsia"/>
      </w:rPr>
      <w:t xml:space="preserve">             磋商文件       第二册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E335">
    <w:pPr>
      <w:pStyle w:val="18"/>
    </w:pPr>
    <w:r>
      <w:rPr>
        <w:rFonts w:hint="eastAsia"/>
        <w:lang w:eastAsia="zh-CN"/>
      </w:rPr>
      <w:t>泰山学院体育学院运动生理实验室（运动负荷实验测试系统)采购项目（61022）</w:t>
    </w:r>
    <w:r>
      <w:rPr>
        <w:rFonts w:hint="eastAsia"/>
      </w:rPr>
      <w:t xml:space="preserve">     磋商文件   第二册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A239">
    <w:pPr>
      <w:pStyle w:val="18"/>
      <w:ind w:firstLine="400"/>
    </w:pPr>
  </w:p>
  <w:p w14:paraId="3E5DF550">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C7FFC"/>
    <w:multiLevelType w:val="singleLevel"/>
    <w:tmpl w:val="020C7F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NTUzMTc2ODdlY2E4OGEyZTI1NTJhNThmNzY4NDUifQ=="/>
  </w:docVars>
  <w:rsids>
    <w:rsidRoot w:val="00165C43"/>
    <w:rsid w:val="00000423"/>
    <w:rsid w:val="00001340"/>
    <w:rsid w:val="0000151E"/>
    <w:rsid w:val="00001627"/>
    <w:rsid w:val="0000177A"/>
    <w:rsid w:val="000018B3"/>
    <w:rsid w:val="00002781"/>
    <w:rsid w:val="000031EC"/>
    <w:rsid w:val="00003B59"/>
    <w:rsid w:val="00007870"/>
    <w:rsid w:val="0001178D"/>
    <w:rsid w:val="00012787"/>
    <w:rsid w:val="00012F4E"/>
    <w:rsid w:val="00013ED4"/>
    <w:rsid w:val="00014E6E"/>
    <w:rsid w:val="00016F91"/>
    <w:rsid w:val="00017FE7"/>
    <w:rsid w:val="000214E7"/>
    <w:rsid w:val="00021B40"/>
    <w:rsid w:val="00021E2A"/>
    <w:rsid w:val="00022B89"/>
    <w:rsid w:val="0002322E"/>
    <w:rsid w:val="00023A4A"/>
    <w:rsid w:val="000265C6"/>
    <w:rsid w:val="0002731B"/>
    <w:rsid w:val="00031628"/>
    <w:rsid w:val="00031FBB"/>
    <w:rsid w:val="00032A4E"/>
    <w:rsid w:val="00032F57"/>
    <w:rsid w:val="0003334A"/>
    <w:rsid w:val="00033E9B"/>
    <w:rsid w:val="00034D66"/>
    <w:rsid w:val="00035E00"/>
    <w:rsid w:val="000365E7"/>
    <w:rsid w:val="000377D6"/>
    <w:rsid w:val="00037B54"/>
    <w:rsid w:val="00042E0C"/>
    <w:rsid w:val="0004303C"/>
    <w:rsid w:val="0004381B"/>
    <w:rsid w:val="0004474B"/>
    <w:rsid w:val="00044836"/>
    <w:rsid w:val="0004497F"/>
    <w:rsid w:val="000456E1"/>
    <w:rsid w:val="00045874"/>
    <w:rsid w:val="000461DF"/>
    <w:rsid w:val="000465BE"/>
    <w:rsid w:val="000508CE"/>
    <w:rsid w:val="00050ABF"/>
    <w:rsid w:val="00051217"/>
    <w:rsid w:val="000522D7"/>
    <w:rsid w:val="00052DCC"/>
    <w:rsid w:val="000538E0"/>
    <w:rsid w:val="000555E7"/>
    <w:rsid w:val="00057769"/>
    <w:rsid w:val="0005780F"/>
    <w:rsid w:val="00060AA7"/>
    <w:rsid w:val="0006288F"/>
    <w:rsid w:val="000633E8"/>
    <w:rsid w:val="00063E19"/>
    <w:rsid w:val="000662C8"/>
    <w:rsid w:val="000662D6"/>
    <w:rsid w:val="00070547"/>
    <w:rsid w:val="00071E4D"/>
    <w:rsid w:val="0007391F"/>
    <w:rsid w:val="00074A9C"/>
    <w:rsid w:val="000764A7"/>
    <w:rsid w:val="00080D8A"/>
    <w:rsid w:val="00082E6A"/>
    <w:rsid w:val="000832A8"/>
    <w:rsid w:val="00083AB1"/>
    <w:rsid w:val="0008441A"/>
    <w:rsid w:val="00084BEB"/>
    <w:rsid w:val="00085519"/>
    <w:rsid w:val="00086205"/>
    <w:rsid w:val="00086D98"/>
    <w:rsid w:val="000872B0"/>
    <w:rsid w:val="00092366"/>
    <w:rsid w:val="000923DE"/>
    <w:rsid w:val="00092924"/>
    <w:rsid w:val="000929D2"/>
    <w:rsid w:val="00092ABA"/>
    <w:rsid w:val="0009381C"/>
    <w:rsid w:val="00097B3B"/>
    <w:rsid w:val="000A19CF"/>
    <w:rsid w:val="000A2AB3"/>
    <w:rsid w:val="000A2B62"/>
    <w:rsid w:val="000A374C"/>
    <w:rsid w:val="000A45AF"/>
    <w:rsid w:val="000A79D4"/>
    <w:rsid w:val="000B03C0"/>
    <w:rsid w:val="000B1107"/>
    <w:rsid w:val="000B1342"/>
    <w:rsid w:val="000B1CC7"/>
    <w:rsid w:val="000B1F41"/>
    <w:rsid w:val="000B2405"/>
    <w:rsid w:val="000B6728"/>
    <w:rsid w:val="000C0920"/>
    <w:rsid w:val="000C0BDE"/>
    <w:rsid w:val="000C14DA"/>
    <w:rsid w:val="000C2457"/>
    <w:rsid w:val="000C6128"/>
    <w:rsid w:val="000C6400"/>
    <w:rsid w:val="000C6A61"/>
    <w:rsid w:val="000C6DAC"/>
    <w:rsid w:val="000C72C8"/>
    <w:rsid w:val="000C7901"/>
    <w:rsid w:val="000C7E55"/>
    <w:rsid w:val="000D044E"/>
    <w:rsid w:val="000D121A"/>
    <w:rsid w:val="000D133C"/>
    <w:rsid w:val="000D21E2"/>
    <w:rsid w:val="000D2252"/>
    <w:rsid w:val="000D2736"/>
    <w:rsid w:val="000D2D5B"/>
    <w:rsid w:val="000D40E5"/>
    <w:rsid w:val="000D40E7"/>
    <w:rsid w:val="000D423B"/>
    <w:rsid w:val="000D4782"/>
    <w:rsid w:val="000D65CE"/>
    <w:rsid w:val="000D75A2"/>
    <w:rsid w:val="000D78F6"/>
    <w:rsid w:val="000E0E5B"/>
    <w:rsid w:val="000E14F8"/>
    <w:rsid w:val="000E1C64"/>
    <w:rsid w:val="000E1FEE"/>
    <w:rsid w:val="000E6126"/>
    <w:rsid w:val="000E7A55"/>
    <w:rsid w:val="000F184B"/>
    <w:rsid w:val="000F1AAA"/>
    <w:rsid w:val="000F1C96"/>
    <w:rsid w:val="000F3385"/>
    <w:rsid w:val="000F3E95"/>
    <w:rsid w:val="000F41E6"/>
    <w:rsid w:val="000F4321"/>
    <w:rsid w:val="000F56A9"/>
    <w:rsid w:val="000F5A67"/>
    <w:rsid w:val="000F6861"/>
    <w:rsid w:val="0010106C"/>
    <w:rsid w:val="00102A4E"/>
    <w:rsid w:val="00104133"/>
    <w:rsid w:val="00105519"/>
    <w:rsid w:val="001073C9"/>
    <w:rsid w:val="00107BD5"/>
    <w:rsid w:val="00110AAB"/>
    <w:rsid w:val="00111680"/>
    <w:rsid w:val="001126DD"/>
    <w:rsid w:val="00113817"/>
    <w:rsid w:val="00114B2B"/>
    <w:rsid w:val="00114E1E"/>
    <w:rsid w:val="00115FDB"/>
    <w:rsid w:val="00116DA2"/>
    <w:rsid w:val="00117187"/>
    <w:rsid w:val="00117CB2"/>
    <w:rsid w:val="00120C58"/>
    <w:rsid w:val="00121325"/>
    <w:rsid w:val="0012278F"/>
    <w:rsid w:val="00123765"/>
    <w:rsid w:val="00124048"/>
    <w:rsid w:val="00124163"/>
    <w:rsid w:val="001255AA"/>
    <w:rsid w:val="00125CD2"/>
    <w:rsid w:val="00125F40"/>
    <w:rsid w:val="00127486"/>
    <w:rsid w:val="001305DC"/>
    <w:rsid w:val="00130B06"/>
    <w:rsid w:val="00131B93"/>
    <w:rsid w:val="00133A03"/>
    <w:rsid w:val="00134C96"/>
    <w:rsid w:val="0013694F"/>
    <w:rsid w:val="00136A41"/>
    <w:rsid w:val="00136DC7"/>
    <w:rsid w:val="00137FFA"/>
    <w:rsid w:val="00140BB4"/>
    <w:rsid w:val="001413C8"/>
    <w:rsid w:val="0014185C"/>
    <w:rsid w:val="001421E1"/>
    <w:rsid w:val="00143893"/>
    <w:rsid w:val="00143930"/>
    <w:rsid w:val="00145424"/>
    <w:rsid w:val="0014685C"/>
    <w:rsid w:val="001469EA"/>
    <w:rsid w:val="001476DC"/>
    <w:rsid w:val="001477F3"/>
    <w:rsid w:val="00150F6E"/>
    <w:rsid w:val="00151A76"/>
    <w:rsid w:val="0015472D"/>
    <w:rsid w:val="00154920"/>
    <w:rsid w:val="001552E5"/>
    <w:rsid w:val="00155B83"/>
    <w:rsid w:val="00155C85"/>
    <w:rsid w:val="00155E03"/>
    <w:rsid w:val="001569EE"/>
    <w:rsid w:val="00160F04"/>
    <w:rsid w:val="0016160A"/>
    <w:rsid w:val="001624F5"/>
    <w:rsid w:val="00162C1A"/>
    <w:rsid w:val="00162C43"/>
    <w:rsid w:val="001642EB"/>
    <w:rsid w:val="00165C43"/>
    <w:rsid w:val="00166004"/>
    <w:rsid w:val="00166285"/>
    <w:rsid w:val="00170404"/>
    <w:rsid w:val="00171048"/>
    <w:rsid w:val="00172FBD"/>
    <w:rsid w:val="00172FEA"/>
    <w:rsid w:val="00173BEC"/>
    <w:rsid w:val="00173FB6"/>
    <w:rsid w:val="00175047"/>
    <w:rsid w:val="00176AAC"/>
    <w:rsid w:val="00176DBC"/>
    <w:rsid w:val="001770E8"/>
    <w:rsid w:val="00177A5F"/>
    <w:rsid w:val="00181304"/>
    <w:rsid w:val="00181565"/>
    <w:rsid w:val="00182371"/>
    <w:rsid w:val="001846EC"/>
    <w:rsid w:val="00184F8A"/>
    <w:rsid w:val="00187735"/>
    <w:rsid w:val="00187B2E"/>
    <w:rsid w:val="001910B6"/>
    <w:rsid w:val="00191ECC"/>
    <w:rsid w:val="0019227A"/>
    <w:rsid w:val="00192335"/>
    <w:rsid w:val="001924E4"/>
    <w:rsid w:val="00193CB8"/>
    <w:rsid w:val="00194D6D"/>
    <w:rsid w:val="001961FD"/>
    <w:rsid w:val="0019763C"/>
    <w:rsid w:val="001A0C8D"/>
    <w:rsid w:val="001A0FF3"/>
    <w:rsid w:val="001A2C19"/>
    <w:rsid w:val="001A32E5"/>
    <w:rsid w:val="001A4BDE"/>
    <w:rsid w:val="001A5882"/>
    <w:rsid w:val="001A68C3"/>
    <w:rsid w:val="001A6D61"/>
    <w:rsid w:val="001B2935"/>
    <w:rsid w:val="001B2E84"/>
    <w:rsid w:val="001B31A7"/>
    <w:rsid w:val="001B34D8"/>
    <w:rsid w:val="001B42C4"/>
    <w:rsid w:val="001B4365"/>
    <w:rsid w:val="001B48A2"/>
    <w:rsid w:val="001B48A6"/>
    <w:rsid w:val="001B5C85"/>
    <w:rsid w:val="001B6168"/>
    <w:rsid w:val="001B6540"/>
    <w:rsid w:val="001B6D32"/>
    <w:rsid w:val="001B70C7"/>
    <w:rsid w:val="001B7534"/>
    <w:rsid w:val="001C0520"/>
    <w:rsid w:val="001C25C3"/>
    <w:rsid w:val="001C2E0A"/>
    <w:rsid w:val="001C7ACF"/>
    <w:rsid w:val="001C7E92"/>
    <w:rsid w:val="001D0302"/>
    <w:rsid w:val="001D07A8"/>
    <w:rsid w:val="001D0B7C"/>
    <w:rsid w:val="001D2D7E"/>
    <w:rsid w:val="001D3360"/>
    <w:rsid w:val="001D3699"/>
    <w:rsid w:val="001D3919"/>
    <w:rsid w:val="001D5D21"/>
    <w:rsid w:val="001D685F"/>
    <w:rsid w:val="001E2106"/>
    <w:rsid w:val="001E244D"/>
    <w:rsid w:val="001E3BB0"/>
    <w:rsid w:val="001E5701"/>
    <w:rsid w:val="001E6AEC"/>
    <w:rsid w:val="001E796B"/>
    <w:rsid w:val="001F0043"/>
    <w:rsid w:val="001F0211"/>
    <w:rsid w:val="001F115F"/>
    <w:rsid w:val="001F1510"/>
    <w:rsid w:val="001F2047"/>
    <w:rsid w:val="001F2CB3"/>
    <w:rsid w:val="001F4331"/>
    <w:rsid w:val="001F63EF"/>
    <w:rsid w:val="001F6C6D"/>
    <w:rsid w:val="001F72F1"/>
    <w:rsid w:val="001F75A7"/>
    <w:rsid w:val="002001A5"/>
    <w:rsid w:val="002002E7"/>
    <w:rsid w:val="00200A34"/>
    <w:rsid w:val="0020272B"/>
    <w:rsid w:val="00205863"/>
    <w:rsid w:val="00206388"/>
    <w:rsid w:val="00206507"/>
    <w:rsid w:val="002065E7"/>
    <w:rsid w:val="002068EF"/>
    <w:rsid w:val="00207045"/>
    <w:rsid w:val="00210794"/>
    <w:rsid w:val="0021125E"/>
    <w:rsid w:val="002125BA"/>
    <w:rsid w:val="00212E58"/>
    <w:rsid w:val="00215CC4"/>
    <w:rsid w:val="002160C2"/>
    <w:rsid w:val="00216EC5"/>
    <w:rsid w:val="00223D76"/>
    <w:rsid w:val="002314C2"/>
    <w:rsid w:val="002316C8"/>
    <w:rsid w:val="002331CD"/>
    <w:rsid w:val="00233ABA"/>
    <w:rsid w:val="002344BA"/>
    <w:rsid w:val="00236314"/>
    <w:rsid w:val="00236DCA"/>
    <w:rsid w:val="00237726"/>
    <w:rsid w:val="00237B8C"/>
    <w:rsid w:val="002416A7"/>
    <w:rsid w:val="00241953"/>
    <w:rsid w:val="00241992"/>
    <w:rsid w:val="0024284D"/>
    <w:rsid w:val="002438EF"/>
    <w:rsid w:val="0024435D"/>
    <w:rsid w:val="0024470A"/>
    <w:rsid w:val="00244E02"/>
    <w:rsid w:val="00245028"/>
    <w:rsid w:val="00247888"/>
    <w:rsid w:val="00247A0B"/>
    <w:rsid w:val="00253C27"/>
    <w:rsid w:val="00255625"/>
    <w:rsid w:val="00256023"/>
    <w:rsid w:val="00256E52"/>
    <w:rsid w:val="00257C31"/>
    <w:rsid w:val="00257C7E"/>
    <w:rsid w:val="00257EFC"/>
    <w:rsid w:val="0026001B"/>
    <w:rsid w:val="002645FD"/>
    <w:rsid w:val="00265CB1"/>
    <w:rsid w:val="00266113"/>
    <w:rsid w:val="00270DB4"/>
    <w:rsid w:val="00271849"/>
    <w:rsid w:val="00273E43"/>
    <w:rsid w:val="00274B5A"/>
    <w:rsid w:val="002754BC"/>
    <w:rsid w:val="002764F8"/>
    <w:rsid w:val="00276A9C"/>
    <w:rsid w:val="0028204F"/>
    <w:rsid w:val="002820CA"/>
    <w:rsid w:val="00282B9B"/>
    <w:rsid w:val="00284F61"/>
    <w:rsid w:val="00290B3E"/>
    <w:rsid w:val="00290F83"/>
    <w:rsid w:val="002910FC"/>
    <w:rsid w:val="002915F6"/>
    <w:rsid w:val="00293101"/>
    <w:rsid w:val="002935F4"/>
    <w:rsid w:val="0029409F"/>
    <w:rsid w:val="002943B3"/>
    <w:rsid w:val="00294B29"/>
    <w:rsid w:val="002961B1"/>
    <w:rsid w:val="0029690B"/>
    <w:rsid w:val="002973ED"/>
    <w:rsid w:val="00297D5D"/>
    <w:rsid w:val="002A2D3E"/>
    <w:rsid w:val="002A3BAE"/>
    <w:rsid w:val="002A44F3"/>
    <w:rsid w:val="002A4BDF"/>
    <w:rsid w:val="002A519A"/>
    <w:rsid w:val="002A5F10"/>
    <w:rsid w:val="002A5FE4"/>
    <w:rsid w:val="002A67EC"/>
    <w:rsid w:val="002A6CD7"/>
    <w:rsid w:val="002A7136"/>
    <w:rsid w:val="002A77FD"/>
    <w:rsid w:val="002A7A55"/>
    <w:rsid w:val="002B0B6E"/>
    <w:rsid w:val="002B2329"/>
    <w:rsid w:val="002B2638"/>
    <w:rsid w:val="002B3BE0"/>
    <w:rsid w:val="002B4769"/>
    <w:rsid w:val="002B5391"/>
    <w:rsid w:val="002B62A0"/>
    <w:rsid w:val="002B698D"/>
    <w:rsid w:val="002B6CAB"/>
    <w:rsid w:val="002C1468"/>
    <w:rsid w:val="002C4B56"/>
    <w:rsid w:val="002C6459"/>
    <w:rsid w:val="002C6860"/>
    <w:rsid w:val="002C6BD5"/>
    <w:rsid w:val="002C6BDD"/>
    <w:rsid w:val="002C7E9A"/>
    <w:rsid w:val="002D0681"/>
    <w:rsid w:val="002D2BAF"/>
    <w:rsid w:val="002D3CBA"/>
    <w:rsid w:val="002D406D"/>
    <w:rsid w:val="002D4142"/>
    <w:rsid w:val="002D4D91"/>
    <w:rsid w:val="002D5350"/>
    <w:rsid w:val="002D59D5"/>
    <w:rsid w:val="002D5E42"/>
    <w:rsid w:val="002D7F70"/>
    <w:rsid w:val="002E2C29"/>
    <w:rsid w:val="002E47FD"/>
    <w:rsid w:val="002E6162"/>
    <w:rsid w:val="002E64D3"/>
    <w:rsid w:val="002E69F0"/>
    <w:rsid w:val="002F04F4"/>
    <w:rsid w:val="002F0AF3"/>
    <w:rsid w:val="002F1387"/>
    <w:rsid w:val="002F187C"/>
    <w:rsid w:val="002F1F3A"/>
    <w:rsid w:val="002F2F38"/>
    <w:rsid w:val="002F2F5F"/>
    <w:rsid w:val="002F69B0"/>
    <w:rsid w:val="00301C77"/>
    <w:rsid w:val="0030438E"/>
    <w:rsid w:val="00304620"/>
    <w:rsid w:val="003047C7"/>
    <w:rsid w:val="00306A93"/>
    <w:rsid w:val="00307033"/>
    <w:rsid w:val="00307977"/>
    <w:rsid w:val="00310D4F"/>
    <w:rsid w:val="00311BE3"/>
    <w:rsid w:val="00312997"/>
    <w:rsid w:val="00313703"/>
    <w:rsid w:val="00313EC6"/>
    <w:rsid w:val="003147BA"/>
    <w:rsid w:val="003175F6"/>
    <w:rsid w:val="00317731"/>
    <w:rsid w:val="00317937"/>
    <w:rsid w:val="00320508"/>
    <w:rsid w:val="003227E0"/>
    <w:rsid w:val="00323D83"/>
    <w:rsid w:val="00325181"/>
    <w:rsid w:val="00326A5A"/>
    <w:rsid w:val="00327891"/>
    <w:rsid w:val="00327E7C"/>
    <w:rsid w:val="00330194"/>
    <w:rsid w:val="00330578"/>
    <w:rsid w:val="003326C4"/>
    <w:rsid w:val="00332CD8"/>
    <w:rsid w:val="003339C5"/>
    <w:rsid w:val="00336FD7"/>
    <w:rsid w:val="003378C3"/>
    <w:rsid w:val="00337CD8"/>
    <w:rsid w:val="00340E57"/>
    <w:rsid w:val="003425BD"/>
    <w:rsid w:val="00342B56"/>
    <w:rsid w:val="00343068"/>
    <w:rsid w:val="003434D2"/>
    <w:rsid w:val="00344CB5"/>
    <w:rsid w:val="00346745"/>
    <w:rsid w:val="00350ACC"/>
    <w:rsid w:val="00351795"/>
    <w:rsid w:val="00352685"/>
    <w:rsid w:val="00352CB6"/>
    <w:rsid w:val="003533C2"/>
    <w:rsid w:val="00353A99"/>
    <w:rsid w:val="00354649"/>
    <w:rsid w:val="00354995"/>
    <w:rsid w:val="00354D84"/>
    <w:rsid w:val="00354F08"/>
    <w:rsid w:val="003562FF"/>
    <w:rsid w:val="00357612"/>
    <w:rsid w:val="003611F1"/>
    <w:rsid w:val="0036157A"/>
    <w:rsid w:val="003632EC"/>
    <w:rsid w:val="0036397C"/>
    <w:rsid w:val="00363AB3"/>
    <w:rsid w:val="00363F87"/>
    <w:rsid w:val="00365553"/>
    <w:rsid w:val="00370B2F"/>
    <w:rsid w:val="00371721"/>
    <w:rsid w:val="003724F2"/>
    <w:rsid w:val="0037311D"/>
    <w:rsid w:val="0037316E"/>
    <w:rsid w:val="003739F7"/>
    <w:rsid w:val="00373C25"/>
    <w:rsid w:val="00373CBB"/>
    <w:rsid w:val="00373DC1"/>
    <w:rsid w:val="00376F3C"/>
    <w:rsid w:val="00377095"/>
    <w:rsid w:val="00380ADE"/>
    <w:rsid w:val="003819FF"/>
    <w:rsid w:val="00381E53"/>
    <w:rsid w:val="00382381"/>
    <w:rsid w:val="00382DDC"/>
    <w:rsid w:val="003872D8"/>
    <w:rsid w:val="003874F3"/>
    <w:rsid w:val="00390395"/>
    <w:rsid w:val="00391442"/>
    <w:rsid w:val="00392DF9"/>
    <w:rsid w:val="003939B8"/>
    <w:rsid w:val="00393EDB"/>
    <w:rsid w:val="00394481"/>
    <w:rsid w:val="0039451F"/>
    <w:rsid w:val="00394547"/>
    <w:rsid w:val="003962B3"/>
    <w:rsid w:val="00396692"/>
    <w:rsid w:val="003967FC"/>
    <w:rsid w:val="00397101"/>
    <w:rsid w:val="003A0B7D"/>
    <w:rsid w:val="003A0BDE"/>
    <w:rsid w:val="003A2691"/>
    <w:rsid w:val="003A3FFC"/>
    <w:rsid w:val="003A45B6"/>
    <w:rsid w:val="003A46DE"/>
    <w:rsid w:val="003A6DCB"/>
    <w:rsid w:val="003A7802"/>
    <w:rsid w:val="003B05B0"/>
    <w:rsid w:val="003B4419"/>
    <w:rsid w:val="003B5055"/>
    <w:rsid w:val="003B57CF"/>
    <w:rsid w:val="003B6BC5"/>
    <w:rsid w:val="003C0C07"/>
    <w:rsid w:val="003C374C"/>
    <w:rsid w:val="003C567C"/>
    <w:rsid w:val="003C62B8"/>
    <w:rsid w:val="003D0378"/>
    <w:rsid w:val="003D2F0A"/>
    <w:rsid w:val="003D385A"/>
    <w:rsid w:val="003D3C52"/>
    <w:rsid w:val="003D406E"/>
    <w:rsid w:val="003D5F26"/>
    <w:rsid w:val="003D608F"/>
    <w:rsid w:val="003D6347"/>
    <w:rsid w:val="003D7FB9"/>
    <w:rsid w:val="003E04C0"/>
    <w:rsid w:val="003E07E9"/>
    <w:rsid w:val="003E19F7"/>
    <w:rsid w:val="003E2DF6"/>
    <w:rsid w:val="003E341F"/>
    <w:rsid w:val="003E375C"/>
    <w:rsid w:val="003E41B7"/>
    <w:rsid w:val="003E42C2"/>
    <w:rsid w:val="003E4830"/>
    <w:rsid w:val="003E5811"/>
    <w:rsid w:val="003E582F"/>
    <w:rsid w:val="003E59B7"/>
    <w:rsid w:val="003E5E34"/>
    <w:rsid w:val="003E6176"/>
    <w:rsid w:val="003E65D4"/>
    <w:rsid w:val="003E6A90"/>
    <w:rsid w:val="003E710E"/>
    <w:rsid w:val="003E7D6A"/>
    <w:rsid w:val="003F0BD9"/>
    <w:rsid w:val="003F0EAC"/>
    <w:rsid w:val="003F1B41"/>
    <w:rsid w:val="003F2FB9"/>
    <w:rsid w:val="003F3173"/>
    <w:rsid w:val="003F3C3F"/>
    <w:rsid w:val="003F3F2C"/>
    <w:rsid w:val="003F575E"/>
    <w:rsid w:val="003F58D0"/>
    <w:rsid w:val="003F5F2A"/>
    <w:rsid w:val="00400B8D"/>
    <w:rsid w:val="00402D35"/>
    <w:rsid w:val="00403795"/>
    <w:rsid w:val="004045FA"/>
    <w:rsid w:val="00404D86"/>
    <w:rsid w:val="00410130"/>
    <w:rsid w:val="00410748"/>
    <w:rsid w:val="00410F33"/>
    <w:rsid w:val="00411393"/>
    <w:rsid w:val="004142C7"/>
    <w:rsid w:val="00415C8F"/>
    <w:rsid w:val="00421C55"/>
    <w:rsid w:val="00422309"/>
    <w:rsid w:val="004237DF"/>
    <w:rsid w:val="00424812"/>
    <w:rsid w:val="00424AD6"/>
    <w:rsid w:val="00425653"/>
    <w:rsid w:val="00426AAC"/>
    <w:rsid w:val="00427E8C"/>
    <w:rsid w:val="00430777"/>
    <w:rsid w:val="00431D92"/>
    <w:rsid w:val="00431E35"/>
    <w:rsid w:val="0043305E"/>
    <w:rsid w:val="00433A74"/>
    <w:rsid w:val="00433EE9"/>
    <w:rsid w:val="00434542"/>
    <w:rsid w:val="00435614"/>
    <w:rsid w:val="004356A4"/>
    <w:rsid w:val="00436842"/>
    <w:rsid w:val="00437261"/>
    <w:rsid w:val="004434D9"/>
    <w:rsid w:val="004444BA"/>
    <w:rsid w:val="00444507"/>
    <w:rsid w:val="004450D2"/>
    <w:rsid w:val="004452DB"/>
    <w:rsid w:val="0045083C"/>
    <w:rsid w:val="004514DB"/>
    <w:rsid w:val="00451FA7"/>
    <w:rsid w:val="00452425"/>
    <w:rsid w:val="0045319E"/>
    <w:rsid w:val="004557A7"/>
    <w:rsid w:val="00456065"/>
    <w:rsid w:val="004562A0"/>
    <w:rsid w:val="004562C1"/>
    <w:rsid w:val="0045785D"/>
    <w:rsid w:val="00461302"/>
    <w:rsid w:val="004617C2"/>
    <w:rsid w:val="00462C51"/>
    <w:rsid w:val="00463E0B"/>
    <w:rsid w:val="004667F8"/>
    <w:rsid w:val="00466D83"/>
    <w:rsid w:val="004711EE"/>
    <w:rsid w:val="00471EFE"/>
    <w:rsid w:val="00473790"/>
    <w:rsid w:val="00474B00"/>
    <w:rsid w:val="00475334"/>
    <w:rsid w:val="00480682"/>
    <w:rsid w:val="00481537"/>
    <w:rsid w:val="00481730"/>
    <w:rsid w:val="00482311"/>
    <w:rsid w:val="00483988"/>
    <w:rsid w:val="00483D7D"/>
    <w:rsid w:val="0048474D"/>
    <w:rsid w:val="0048664C"/>
    <w:rsid w:val="0048728D"/>
    <w:rsid w:val="004877D6"/>
    <w:rsid w:val="0049271D"/>
    <w:rsid w:val="004934D2"/>
    <w:rsid w:val="00493680"/>
    <w:rsid w:val="00495A9B"/>
    <w:rsid w:val="00495F70"/>
    <w:rsid w:val="00496A2A"/>
    <w:rsid w:val="004A088C"/>
    <w:rsid w:val="004A3005"/>
    <w:rsid w:val="004A40CA"/>
    <w:rsid w:val="004A5C5F"/>
    <w:rsid w:val="004A68C3"/>
    <w:rsid w:val="004A6F5D"/>
    <w:rsid w:val="004A7108"/>
    <w:rsid w:val="004A7678"/>
    <w:rsid w:val="004A7683"/>
    <w:rsid w:val="004A779E"/>
    <w:rsid w:val="004A7E8C"/>
    <w:rsid w:val="004B1E02"/>
    <w:rsid w:val="004B21CD"/>
    <w:rsid w:val="004B237E"/>
    <w:rsid w:val="004B41D3"/>
    <w:rsid w:val="004B467E"/>
    <w:rsid w:val="004B52AF"/>
    <w:rsid w:val="004B5A11"/>
    <w:rsid w:val="004B7F8E"/>
    <w:rsid w:val="004C0229"/>
    <w:rsid w:val="004C0BF8"/>
    <w:rsid w:val="004C1115"/>
    <w:rsid w:val="004C2EF1"/>
    <w:rsid w:val="004C4343"/>
    <w:rsid w:val="004C43DC"/>
    <w:rsid w:val="004C56C3"/>
    <w:rsid w:val="004C5D7C"/>
    <w:rsid w:val="004C67B4"/>
    <w:rsid w:val="004C6F48"/>
    <w:rsid w:val="004C7096"/>
    <w:rsid w:val="004D201D"/>
    <w:rsid w:val="004D30EC"/>
    <w:rsid w:val="004D39D5"/>
    <w:rsid w:val="004D403E"/>
    <w:rsid w:val="004D527F"/>
    <w:rsid w:val="004D7032"/>
    <w:rsid w:val="004D721F"/>
    <w:rsid w:val="004D724D"/>
    <w:rsid w:val="004D7CE4"/>
    <w:rsid w:val="004E016C"/>
    <w:rsid w:val="004E0EE5"/>
    <w:rsid w:val="004E2F7E"/>
    <w:rsid w:val="004E3A69"/>
    <w:rsid w:val="004E4230"/>
    <w:rsid w:val="004E4C3A"/>
    <w:rsid w:val="004E5DE5"/>
    <w:rsid w:val="004F2084"/>
    <w:rsid w:val="004F2B7D"/>
    <w:rsid w:val="004F354A"/>
    <w:rsid w:val="004F59C7"/>
    <w:rsid w:val="004F653D"/>
    <w:rsid w:val="004F6F06"/>
    <w:rsid w:val="004F751F"/>
    <w:rsid w:val="005012EA"/>
    <w:rsid w:val="00501712"/>
    <w:rsid w:val="00502BAA"/>
    <w:rsid w:val="0050347D"/>
    <w:rsid w:val="0050419E"/>
    <w:rsid w:val="00504DCE"/>
    <w:rsid w:val="00506D16"/>
    <w:rsid w:val="0050703A"/>
    <w:rsid w:val="0051037A"/>
    <w:rsid w:val="005108CD"/>
    <w:rsid w:val="005125C0"/>
    <w:rsid w:val="00512615"/>
    <w:rsid w:val="005128DF"/>
    <w:rsid w:val="00512B70"/>
    <w:rsid w:val="00514E97"/>
    <w:rsid w:val="00515BC5"/>
    <w:rsid w:val="00516DB6"/>
    <w:rsid w:val="00517C37"/>
    <w:rsid w:val="00520108"/>
    <w:rsid w:val="00520564"/>
    <w:rsid w:val="005205C0"/>
    <w:rsid w:val="005217CA"/>
    <w:rsid w:val="00522568"/>
    <w:rsid w:val="00523A02"/>
    <w:rsid w:val="00523E67"/>
    <w:rsid w:val="00523E6D"/>
    <w:rsid w:val="00524982"/>
    <w:rsid w:val="00524FCE"/>
    <w:rsid w:val="0052588E"/>
    <w:rsid w:val="00525B0E"/>
    <w:rsid w:val="00526CAD"/>
    <w:rsid w:val="00527F28"/>
    <w:rsid w:val="00530CC0"/>
    <w:rsid w:val="005342AC"/>
    <w:rsid w:val="00534943"/>
    <w:rsid w:val="00535338"/>
    <w:rsid w:val="005360F8"/>
    <w:rsid w:val="0053635C"/>
    <w:rsid w:val="0053650D"/>
    <w:rsid w:val="00537CA9"/>
    <w:rsid w:val="00540026"/>
    <w:rsid w:val="00540472"/>
    <w:rsid w:val="00540AC7"/>
    <w:rsid w:val="00541E1A"/>
    <w:rsid w:val="00542896"/>
    <w:rsid w:val="0054295A"/>
    <w:rsid w:val="005436BF"/>
    <w:rsid w:val="005445FE"/>
    <w:rsid w:val="0054552B"/>
    <w:rsid w:val="00546024"/>
    <w:rsid w:val="005475C9"/>
    <w:rsid w:val="005500E7"/>
    <w:rsid w:val="0055128D"/>
    <w:rsid w:val="00551B27"/>
    <w:rsid w:val="00551D30"/>
    <w:rsid w:val="00555D21"/>
    <w:rsid w:val="0055636B"/>
    <w:rsid w:val="00560B3F"/>
    <w:rsid w:val="00560CA1"/>
    <w:rsid w:val="005614D6"/>
    <w:rsid w:val="00562A6A"/>
    <w:rsid w:val="005633EE"/>
    <w:rsid w:val="005637A0"/>
    <w:rsid w:val="00564EE5"/>
    <w:rsid w:val="00565B90"/>
    <w:rsid w:val="00565FFF"/>
    <w:rsid w:val="0056648D"/>
    <w:rsid w:val="005715BE"/>
    <w:rsid w:val="00572F28"/>
    <w:rsid w:val="00574B0C"/>
    <w:rsid w:val="0057524B"/>
    <w:rsid w:val="00576CB1"/>
    <w:rsid w:val="00581422"/>
    <w:rsid w:val="00581B65"/>
    <w:rsid w:val="00582442"/>
    <w:rsid w:val="00582984"/>
    <w:rsid w:val="00585D02"/>
    <w:rsid w:val="00586FC1"/>
    <w:rsid w:val="00590F7B"/>
    <w:rsid w:val="0059314C"/>
    <w:rsid w:val="00593267"/>
    <w:rsid w:val="00593274"/>
    <w:rsid w:val="005935FB"/>
    <w:rsid w:val="00593B30"/>
    <w:rsid w:val="00594480"/>
    <w:rsid w:val="00595C23"/>
    <w:rsid w:val="00596706"/>
    <w:rsid w:val="00596C2D"/>
    <w:rsid w:val="00597A14"/>
    <w:rsid w:val="005A089B"/>
    <w:rsid w:val="005A0DE9"/>
    <w:rsid w:val="005A0EA1"/>
    <w:rsid w:val="005A2D23"/>
    <w:rsid w:val="005A5275"/>
    <w:rsid w:val="005A5A13"/>
    <w:rsid w:val="005A6E33"/>
    <w:rsid w:val="005A7CA4"/>
    <w:rsid w:val="005B0442"/>
    <w:rsid w:val="005B0A24"/>
    <w:rsid w:val="005B2FCF"/>
    <w:rsid w:val="005B355E"/>
    <w:rsid w:val="005B4128"/>
    <w:rsid w:val="005B44B2"/>
    <w:rsid w:val="005B4851"/>
    <w:rsid w:val="005B5074"/>
    <w:rsid w:val="005C0585"/>
    <w:rsid w:val="005C096C"/>
    <w:rsid w:val="005C0BB1"/>
    <w:rsid w:val="005C114A"/>
    <w:rsid w:val="005C13F2"/>
    <w:rsid w:val="005C2863"/>
    <w:rsid w:val="005C2923"/>
    <w:rsid w:val="005C363A"/>
    <w:rsid w:val="005C3F80"/>
    <w:rsid w:val="005C451D"/>
    <w:rsid w:val="005C4C55"/>
    <w:rsid w:val="005C6729"/>
    <w:rsid w:val="005D0C2D"/>
    <w:rsid w:val="005D0CEB"/>
    <w:rsid w:val="005D1E8B"/>
    <w:rsid w:val="005D2DB8"/>
    <w:rsid w:val="005D3FC9"/>
    <w:rsid w:val="005D4C6F"/>
    <w:rsid w:val="005D4E45"/>
    <w:rsid w:val="005D5BB9"/>
    <w:rsid w:val="005D66B2"/>
    <w:rsid w:val="005E11D1"/>
    <w:rsid w:val="005E1B72"/>
    <w:rsid w:val="005E3BF5"/>
    <w:rsid w:val="005E3FB3"/>
    <w:rsid w:val="005E4168"/>
    <w:rsid w:val="005E459D"/>
    <w:rsid w:val="005E4FBD"/>
    <w:rsid w:val="005E76EF"/>
    <w:rsid w:val="005F0175"/>
    <w:rsid w:val="005F06CC"/>
    <w:rsid w:val="005F0AB7"/>
    <w:rsid w:val="005F179F"/>
    <w:rsid w:val="005F2322"/>
    <w:rsid w:val="005F27A0"/>
    <w:rsid w:val="005F3A1B"/>
    <w:rsid w:val="005F56BE"/>
    <w:rsid w:val="005F6C1D"/>
    <w:rsid w:val="00601F45"/>
    <w:rsid w:val="00602EF0"/>
    <w:rsid w:val="006042CD"/>
    <w:rsid w:val="006054C9"/>
    <w:rsid w:val="00605962"/>
    <w:rsid w:val="00605C40"/>
    <w:rsid w:val="0060604B"/>
    <w:rsid w:val="00606268"/>
    <w:rsid w:val="00606F19"/>
    <w:rsid w:val="00607908"/>
    <w:rsid w:val="00607D2C"/>
    <w:rsid w:val="00607F19"/>
    <w:rsid w:val="006114B3"/>
    <w:rsid w:val="00615560"/>
    <w:rsid w:val="00615650"/>
    <w:rsid w:val="00620B8C"/>
    <w:rsid w:val="00621489"/>
    <w:rsid w:val="00623122"/>
    <w:rsid w:val="00623846"/>
    <w:rsid w:val="00623CF9"/>
    <w:rsid w:val="00623D9B"/>
    <w:rsid w:val="00624530"/>
    <w:rsid w:val="00624694"/>
    <w:rsid w:val="00627107"/>
    <w:rsid w:val="00627952"/>
    <w:rsid w:val="00630D12"/>
    <w:rsid w:val="00631A9E"/>
    <w:rsid w:val="006325E0"/>
    <w:rsid w:val="0063294A"/>
    <w:rsid w:val="00633A51"/>
    <w:rsid w:val="00633AC0"/>
    <w:rsid w:val="0063427C"/>
    <w:rsid w:val="00635F17"/>
    <w:rsid w:val="00635FCC"/>
    <w:rsid w:val="00636B7D"/>
    <w:rsid w:val="00637163"/>
    <w:rsid w:val="0064020D"/>
    <w:rsid w:val="006415DF"/>
    <w:rsid w:val="0064171D"/>
    <w:rsid w:val="006427D7"/>
    <w:rsid w:val="00643132"/>
    <w:rsid w:val="00646669"/>
    <w:rsid w:val="00646814"/>
    <w:rsid w:val="006471E8"/>
    <w:rsid w:val="006509C1"/>
    <w:rsid w:val="00650EA6"/>
    <w:rsid w:val="00653F93"/>
    <w:rsid w:val="00654D8F"/>
    <w:rsid w:val="00655889"/>
    <w:rsid w:val="00655BE4"/>
    <w:rsid w:val="00657771"/>
    <w:rsid w:val="00657D02"/>
    <w:rsid w:val="006600C2"/>
    <w:rsid w:val="0066080D"/>
    <w:rsid w:val="00661559"/>
    <w:rsid w:val="006620F3"/>
    <w:rsid w:val="00662FE5"/>
    <w:rsid w:val="00663328"/>
    <w:rsid w:val="00663D1E"/>
    <w:rsid w:val="0066425A"/>
    <w:rsid w:val="0066499D"/>
    <w:rsid w:val="00665A0A"/>
    <w:rsid w:val="00666395"/>
    <w:rsid w:val="006664A4"/>
    <w:rsid w:val="00666735"/>
    <w:rsid w:val="00666809"/>
    <w:rsid w:val="0066694C"/>
    <w:rsid w:val="006726C5"/>
    <w:rsid w:val="006729B6"/>
    <w:rsid w:val="00672A3B"/>
    <w:rsid w:val="00673136"/>
    <w:rsid w:val="00673E07"/>
    <w:rsid w:val="00675845"/>
    <w:rsid w:val="0067601A"/>
    <w:rsid w:val="0067604E"/>
    <w:rsid w:val="00676DBD"/>
    <w:rsid w:val="00682545"/>
    <w:rsid w:val="00683871"/>
    <w:rsid w:val="006844CD"/>
    <w:rsid w:val="00686249"/>
    <w:rsid w:val="00686275"/>
    <w:rsid w:val="00692009"/>
    <w:rsid w:val="00693A56"/>
    <w:rsid w:val="00694348"/>
    <w:rsid w:val="00694AC3"/>
    <w:rsid w:val="00694FFB"/>
    <w:rsid w:val="00695575"/>
    <w:rsid w:val="006978AB"/>
    <w:rsid w:val="006A08AF"/>
    <w:rsid w:val="006A0E25"/>
    <w:rsid w:val="006A1139"/>
    <w:rsid w:val="006A2848"/>
    <w:rsid w:val="006A36DA"/>
    <w:rsid w:val="006A3EF3"/>
    <w:rsid w:val="006A621D"/>
    <w:rsid w:val="006A68AF"/>
    <w:rsid w:val="006A7EDF"/>
    <w:rsid w:val="006B124A"/>
    <w:rsid w:val="006B143A"/>
    <w:rsid w:val="006B22FC"/>
    <w:rsid w:val="006B24C5"/>
    <w:rsid w:val="006B4640"/>
    <w:rsid w:val="006B4824"/>
    <w:rsid w:val="006B58E5"/>
    <w:rsid w:val="006B68FD"/>
    <w:rsid w:val="006C002B"/>
    <w:rsid w:val="006C09D9"/>
    <w:rsid w:val="006C0D95"/>
    <w:rsid w:val="006C3D54"/>
    <w:rsid w:val="006C4637"/>
    <w:rsid w:val="006C4BC3"/>
    <w:rsid w:val="006C4FFE"/>
    <w:rsid w:val="006C5156"/>
    <w:rsid w:val="006C7D90"/>
    <w:rsid w:val="006D0D8D"/>
    <w:rsid w:val="006D17EF"/>
    <w:rsid w:val="006D242E"/>
    <w:rsid w:val="006D29A4"/>
    <w:rsid w:val="006D305D"/>
    <w:rsid w:val="006D3CFA"/>
    <w:rsid w:val="006D59B1"/>
    <w:rsid w:val="006D6353"/>
    <w:rsid w:val="006D6A3E"/>
    <w:rsid w:val="006D71A5"/>
    <w:rsid w:val="006D7DD5"/>
    <w:rsid w:val="006E06E2"/>
    <w:rsid w:val="006E0B7F"/>
    <w:rsid w:val="006E0B8C"/>
    <w:rsid w:val="006E1A93"/>
    <w:rsid w:val="006E275C"/>
    <w:rsid w:val="006E2A2E"/>
    <w:rsid w:val="006E2AE1"/>
    <w:rsid w:val="006E3766"/>
    <w:rsid w:val="006E3E53"/>
    <w:rsid w:val="006E4138"/>
    <w:rsid w:val="006E442F"/>
    <w:rsid w:val="006E4B1B"/>
    <w:rsid w:val="006E4C1A"/>
    <w:rsid w:val="006E4CB8"/>
    <w:rsid w:val="006E4F5A"/>
    <w:rsid w:val="006E54D5"/>
    <w:rsid w:val="006E5738"/>
    <w:rsid w:val="006E59E1"/>
    <w:rsid w:val="006E626E"/>
    <w:rsid w:val="006E6845"/>
    <w:rsid w:val="006E6E09"/>
    <w:rsid w:val="006F077E"/>
    <w:rsid w:val="006F13F8"/>
    <w:rsid w:val="006F173F"/>
    <w:rsid w:val="006F22E2"/>
    <w:rsid w:val="006F2A92"/>
    <w:rsid w:val="006F382C"/>
    <w:rsid w:val="006F49D1"/>
    <w:rsid w:val="006F4E0B"/>
    <w:rsid w:val="006F4ECC"/>
    <w:rsid w:val="006F51CF"/>
    <w:rsid w:val="006F56C0"/>
    <w:rsid w:val="006F61DC"/>
    <w:rsid w:val="006F65ED"/>
    <w:rsid w:val="006F72AE"/>
    <w:rsid w:val="006F7914"/>
    <w:rsid w:val="006F7B28"/>
    <w:rsid w:val="00701089"/>
    <w:rsid w:val="00701476"/>
    <w:rsid w:val="00702B62"/>
    <w:rsid w:val="00703937"/>
    <w:rsid w:val="0070424A"/>
    <w:rsid w:val="00704791"/>
    <w:rsid w:val="00704DE6"/>
    <w:rsid w:val="00705042"/>
    <w:rsid w:val="00706858"/>
    <w:rsid w:val="007069BC"/>
    <w:rsid w:val="00710206"/>
    <w:rsid w:val="00710519"/>
    <w:rsid w:val="00711038"/>
    <w:rsid w:val="00711D4F"/>
    <w:rsid w:val="007132BF"/>
    <w:rsid w:val="007137B3"/>
    <w:rsid w:val="00714296"/>
    <w:rsid w:val="007145B2"/>
    <w:rsid w:val="007145DE"/>
    <w:rsid w:val="007147E5"/>
    <w:rsid w:val="0071574F"/>
    <w:rsid w:val="00715E3C"/>
    <w:rsid w:val="0071666B"/>
    <w:rsid w:val="007167DD"/>
    <w:rsid w:val="007168B5"/>
    <w:rsid w:val="00717B24"/>
    <w:rsid w:val="00721735"/>
    <w:rsid w:val="00721DA8"/>
    <w:rsid w:val="00724D02"/>
    <w:rsid w:val="00725463"/>
    <w:rsid w:val="007258C6"/>
    <w:rsid w:val="0073026F"/>
    <w:rsid w:val="00730CF3"/>
    <w:rsid w:val="00734106"/>
    <w:rsid w:val="007343BB"/>
    <w:rsid w:val="0073489F"/>
    <w:rsid w:val="007355CE"/>
    <w:rsid w:val="007362B8"/>
    <w:rsid w:val="00736E11"/>
    <w:rsid w:val="00736EB2"/>
    <w:rsid w:val="007401EC"/>
    <w:rsid w:val="00741A35"/>
    <w:rsid w:val="00742486"/>
    <w:rsid w:val="0074375C"/>
    <w:rsid w:val="00743ECB"/>
    <w:rsid w:val="00745C61"/>
    <w:rsid w:val="00745DDE"/>
    <w:rsid w:val="007501C0"/>
    <w:rsid w:val="00750531"/>
    <w:rsid w:val="0075201E"/>
    <w:rsid w:val="00753892"/>
    <w:rsid w:val="00757401"/>
    <w:rsid w:val="00760A04"/>
    <w:rsid w:val="00760DDE"/>
    <w:rsid w:val="00762194"/>
    <w:rsid w:val="007637C2"/>
    <w:rsid w:val="00765BBA"/>
    <w:rsid w:val="00766ED5"/>
    <w:rsid w:val="0076732A"/>
    <w:rsid w:val="00770D28"/>
    <w:rsid w:val="007711D3"/>
    <w:rsid w:val="00771281"/>
    <w:rsid w:val="00771879"/>
    <w:rsid w:val="00772E91"/>
    <w:rsid w:val="0077342C"/>
    <w:rsid w:val="00773B6C"/>
    <w:rsid w:val="00773D06"/>
    <w:rsid w:val="007742F3"/>
    <w:rsid w:val="007748EB"/>
    <w:rsid w:val="00774B91"/>
    <w:rsid w:val="007763DE"/>
    <w:rsid w:val="00776FF8"/>
    <w:rsid w:val="00777A4F"/>
    <w:rsid w:val="00777CF2"/>
    <w:rsid w:val="007801C6"/>
    <w:rsid w:val="007812A4"/>
    <w:rsid w:val="00781D4E"/>
    <w:rsid w:val="00786D29"/>
    <w:rsid w:val="00787150"/>
    <w:rsid w:val="007873F2"/>
    <w:rsid w:val="00787DCF"/>
    <w:rsid w:val="007904BC"/>
    <w:rsid w:val="00794D37"/>
    <w:rsid w:val="007956FC"/>
    <w:rsid w:val="007958B3"/>
    <w:rsid w:val="007A0899"/>
    <w:rsid w:val="007A1F37"/>
    <w:rsid w:val="007A4D7B"/>
    <w:rsid w:val="007A4F0E"/>
    <w:rsid w:val="007A5401"/>
    <w:rsid w:val="007A594F"/>
    <w:rsid w:val="007A6179"/>
    <w:rsid w:val="007A619B"/>
    <w:rsid w:val="007A6C89"/>
    <w:rsid w:val="007A7DA2"/>
    <w:rsid w:val="007B1D72"/>
    <w:rsid w:val="007B245B"/>
    <w:rsid w:val="007B3FED"/>
    <w:rsid w:val="007B4BEA"/>
    <w:rsid w:val="007B7104"/>
    <w:rsid w:val="007B7498"/>
    <w:rsid w:val="007C0ADC"/>
    <w:rsid w:val="007C274A"/>
    <w:rsid w:val="007C2926"/>
    <w:rsid w:val="007C2D4B"/>
    <w:rsid w:val="007C3EE5"/>
    <w:rsid w:val="007C3F56"/>
    <w:rsid w:val="007C4CC8"/>
    <w:rsid w:val="007C6B3F"/>
    <w:rsid w:val="007C703B"/>
    <w:rsid w:val="007C787B"/>
    <w:rsid w:val="007D078A"/>
    <w:rsid w:val="007D20AB"/>
    <w:rsid w:val="007D4705"/>
    <w:rsid w:val="007D7375"/>
    <w:rsid w:val="007D7895"/>
    <w:rsid w:val="007E00F0"/>
    <w:rsid w:val="007E0B5D"/>
    <w:rsid w:val="007E1258"/>
    <w:rsid w:val="007E1F50"/>
    <w:rsid w:val="007E3244"/>
    <w:rsid w:val="007E3D66"/>
    <w:rsid w:val="007E41C4"/>
    <w:rsid w:val="007E497A"/>
    <w:rsid w:val="007E4C61"/>
    <w:rsid w:val="007E7436"/>
    <w:rsid w:val="007E7C80"/>
    <w:rsid w:val="007F0323"/>
    <w:rsid w:val="007F0D33"/>
    <w:rsid w:val="007F1159"/>
    <w:rsid w:val="007F2A03"/>
    <w:rsid w:val="007F2A47"/>
    <w:rsid w:val="007F3B85"/>
    <w:rsid w:val="007F3DA2"/>
    <w:rsid w:val="007F4727"/>
    <w:rsid w:val="007F5143"/>
    <w:rsid w:val="007F6057"/>
    <w:rsid w:val="007F648A"/>
    <w:rsid w:val="007F75AF"/>
    <w:rsid w:val="007F7A9F"/>
    <w:rsid w:val="00800D83"/>
    <w:rsid w:val="00801F50"/>
    <w:rsid w:val="00803609"/>
    <w:rsid w:val="008055AA"/>
    <w:rsid w:val="00805CEA"/>
    <w:rsid w:val="00806CE1"/>
    <w:rsid w:val="00807A68"/>
    <w:rsid w:val="00807A99"/>
    <w:rsid w:val="00807C33"/>
    <w:rsid w:val="00807E65"/>
    <w:rsid w:val="00810688"/>
    <w:rsid w:val="00810B0D"/>
    <w:rsid w:val="008112DD"/>
    <w:rsid w:val="008135E5"/>
    <w:rsid w:val="008143B9"/>
    <w:rsid w:val="00821BC0"/>
    <w:rsid w:val="0082440C"/>
    <w:rsid w:val="00824DB4"/>
    <w:rsid w:val="00825F05"/>
    <w:rsid w:val="0083040F"/>
    <w:rsid w:val="00830EAC"/>
    <w:rsid w:val="00831849"/>
    <w:rsid w:val="00832729"/>
    <w:rsid w:val="00832B45"/>
    <w:rsid w:val="00832B6A"/>
    <w:rsid w:val="008343F9"/>
    <w:rsid w:val="008354F2"/>
    <w:rsid w:val="008373BA"/>
    <w:rsid w:val="008376F7"/>
    <w:rsid w:val="00837879"/>
    <w:rsid w:val="00837B2E"/>
    <w:rsid w:val="00837DEE"/>
    <w:rsid w:val="008405F6"/>
    <w:rsid w:val="00842DB5"/>
    <w:rsid w:val="0084485F"/>
    <w:rsid w:val="00844F23"/>
    <w:rsid w:val="0084665A"/>
    <w:rsid w:val="0084740A"/>
    <w:rsid w:val="008475BC"/>
    <w:rsid w:val="00847DDF"/>
    <w:rsid w:val="00850A00"/>
    <w:rsid w:val="00851B9B"/>
    <w:rsid w:val="00851CE1"/>
    <w:rsid w:val="0085429C"/>
    <w:rsid w:val="00854427"/>
    <w:rsid w:val="008545B3"/>
    <w:rsid w:val="0085486E"/>
    <w:rsid w:val="00854AC6"/>
    <w:rsid w:val="00854D7B"/>
    <w:rsid w:val="008556F9"/>
    <w:rsid w:val="008616BA"/>
    <w:rsid w:val="00861CDE"/>
    <w:rsid w:val="00861D34"/>
    <w:rsid w:val="0086377C"/>
    <w:rsid w:val="00864066"/>
    <w:rsid w:val="0086486B"/>
    <w:rsid w:val="008656C9"/>
    <w:rsid w:val="00865A5C"/>
    <w:rsid w:val="008675F0"/>
    <w:rsid w:val="008707FF"/>
    <w:rsid w:val="00870BEC"/>
    <w:rsid w:val="00872D97"/>
    <w:rsid w:val="008732F4"/>
    <w:rsid w:val="00873BE9"/>
    <w:rsid w:val="00874172"/>
    <w:rsid w:val="00874464"/>
    <w:rsid w:val="00875377"/>
    <w:rsid w:val="0087584E"/>
    <w:rsid w:val="0087696F"/>
    <w:rsid w:val="00876B7A"/>
    <w:rsid w:val="008771F8"/>
    <w:rsid w:val="00880585"/>
    <w:rsid w:val="00880BD7"/>
    <w:rsid w:val="00881A97"/>
    <w:rsid w:val="0088577F"/>
    <w:rsid w:val="0088726F"/>
    <w:rsid w:val="008874A5"/>
    <w:rsid w:val="008877F0"/>
    <w:rsid w:val="008902B8"/>
    <w:rsid w:val="00892681"/>
    <w:rsid w:val="00894F75"/>
    <w:rsid w:val="00895E2C"/>
    <w:rsid w:val="0089652B"/>
    <w:rsid w:val="008A065A"/>
    <w:rsid w:val="008A1539"/>
    <w:rsid w:val="008A20BD"/>
    <w:rsid w:val="008A2531"/>
    <w:rsid w:val="008A52C7"/>
    <w:rsid w:val="008A5427"/>
    <w:rsid w:val="008A5AB9"/>
    <w:rsid w:val="008A5B13"/>
    <w:rsid w:val="008A7AEF"/>
    <w:rsid w:val="008B07F5"/>
    <w:rsid w:val="008B0997"/>
    <w:rsid w:val="008B2036"/>
    <w:rsid w:val="008B2741"/>
    <w:rsid w:val="008B3C8A"/>
    <w:rsid w:val="008B556A"/>
    <w:rsid w:val="008B573E"/>
    <w:rsid w:val="008B7DB6"/>
    <w:rsid w:val="008C0FC9"/>
    <w:rsid w:val="008C1845"/>
    <w:rsid w:val="008C24AA"/>
    <w:rsid w:val="008C2A40"/>
    <w:rsid w:val="008C3372"/>
    <w:rsid w:val="008C345D"/>
    <w:rsid w:val="008C3DF1"/>
    <w:rsid w:val="008C3E7B"/>
    <w:rsid w:val="008C4ACB"/>
    <w:rsid w:val="008D2F75"/>
    <w:rsid w:val="008D3352"/>
    <w:rsid w:val="008D4AB3"/>
    <w:rsid w:val="008D600B"/>
    <w:rsid w:val="008D7DAE"/>
    <w:rsid w:val="008E0CC1"/>
    <w:rsid w:val="008E125E"/>
    <w:rsid w:val="008E2153"/>
    <w:rsid w:val="008E4DC3"/>
    <w:rsid w:val="008E50C2"/>
    <w:rsid w:val="008E5CC7"/>
    <w:rsid w:val="008E6891"/>
    <w:rsid w:val="008E7A73"/>
    <w:rsid w:val="008F006E"/>
    <w:rsid w:val="008F1758"/>
    <w:rsid w:val="008F30E9"/>
    <w:rsid w:val="008F3B7B"/>
    <w:rsid w:val="008F4E04"/>
    <w:rsid w:val="008F5E43"/>
    <w:rsid w:val="008F722C"/>
    <w:rsid w:val="0090019D"/>
    <w:rsid w:val="00900DE9"/>
    <w:rsid w:val="009028F2"/>
    <w:rsid w:val="009033D6"/>
    <w:rsid w:val="00904551"/>
    <w:rsid w:val="009045BD"/>
    <w:rsid w:val="009055C9"/>
    <w:rsid w:val="009057D8"/>
    <w:rsid w:val="00905857"/>
    <w:rsid w:val="00906292"/>
    <w:rsid w:val="00906CAC"/>
    <w:rsid w:val="0091039B"/>
    <w:rsid w:val="00910D94"/>
    <w:rsid w:val="00911A8B"/>
    <w:rsid w:val="00911BE6"/>
    <w:rsid w:val="009139AE"/>
    <w:rsid w:val="00914D61"/>
    <w:rsid w:val="009150DC"/>
    <w:rsid w:val="00917F54"/>
    <w:rsid w:val="00921461"/>
    <w:rsid w:val="00921514"/>
    <w:rsid w:val="00923244"/>
    <w:rsid w:val="009237E1"/>
    <w:rsid w:val="00923DD3"/>
    <w:rsid w:val="009259CE"/>
    <w:rsid w:val="00927039"/>
    <w:rsid w:val="00931378"/>
    <w:rsid w:val="00931F1E"/>
    <w:rsid w:val="009326C0"/>
    <w:rsid w:val="00932754"/>
    <w:rsid w:val="009335A1"/>
    <w:rsid w:val="009339D1"/>
    <w:rsid w:val="009343C5"/>
    <w:rsid w:val="00935494"/>
    <w:rsid w:val="0093590C"/>
    <w:rsid w:val="009361B0"/>
    <w:rsid w:val="00936C27"/>
    <w:rsid w:val="00936FCF"/>
    <w:rsid w:val="00937E0D"/>
    <w:rsid w:val="00937F4B"/>
    <w:rsid w:val="00942B50"/>
    <w:rsid w:val="00942BA7"/>
    <w:rsid w:val="00942EE6"/>
    <w:rsid w:val="00943597"/>
    <w:rsid w:val="00947240"/>
    <w:rsid w:val="009514BB"/>
    <w:rsid w:val="009518C2"/>
    <w:rsid w:val="00951C90"/>
    <w:rsid w:val="009527C6"/>
    <w:rsid w:val="00952823"/>
    <w:rsid w:val="00952E8F"/>
    <w:rsid w:val="00955453"/>
    <w:rsid w:val="009578C1"/>
    <w:rsid w:val="00957D15"/>
    <w:rsid w:val="00961CE8"/>
    <w:rsid w:val="00962082"/>
    <w:rsid w:val="009629DC"/>
    <w:rsid w:val="00964E38"/>
    <w:rsid w:val="00965DFA"/>
    <w:rsid w:val="00965FC7"/>
    <w:rsid w:val="00966797"/>
    <w:rsid w:val="009668C0"/>
    <w:rsid w:val="0096717D"/>
    <w:rsid w:val="00970A8B"/>
    <w:rsid w:val="00970D00"/>
    <w:rsid w:val="00970EBF"/>
    <w:rsid w:val="00971DC6"/>
    <w:rsid w:val="00973774"/>
    <w:rsid w:val="00975E43"/>
    <w:rsid w:val="009766B4"/>
    <w:rsid w:val="00976C79"/>
    <w:rsid w:val="00977E9E"/>
    <w:rsid w:val="00980777"/>
    <w:rsid w:val="009814C9"/>
    <w:rsid w:val="00981BB8"/>
    <w:rsid w:val="0098263F"/>
    <w:rsid w:val="00984289"/>
    <w:rsid w:val="00984483"/>
    <w:rsid w:val="00985ACB"/>
    <w:rsid w:val="00985DE2"/>
    <w:rsid w:val="00986A5C"/>
    <w:rsid w:val="00986E28"/>
    <w:rsid w:val="009934BD"/>
    <w:rsid w:val="00997666"/>
    <w:rsid w:val="009A03E7"/>
    <w:rsid w:val="009A048F"/>
    <w:rsid w:val="009A0DB7"/>
    <w:rsid w:val="009A0E8F"/>
    <w:rsid w:val="009A2E4F"/>
    <w:rsid w:val="009A3F29"/>
    <w:rsid w:val="009A4509"/>
    <w:rsid w:val="009A4F18"/>
    <w:rsid w:val="009A5550"/>
    <w:rsid w:val="009A579C"/>
    <w:rsid w:val="009A7DF3"/>
    <w:rsid w:val="009A7E71"/>
    <w:rsid w:val="009B08CF"/>
    <w:rsid w:val="009B0DC1"/>
    <w:rsid w:val="009B327C"/>
    <w:rsid w:val="009B35C5"/>
    <w:rsid w:val="009B383D"/>
    <w:rsid w:val="009B4606"/>
    <w:rsid w:val="009B497C"/>
    <w:rsid w:val="009B639A"/>
    <w:rsid w:val="009B7D0F"/>
    <w:rsid w:val="009C1877"/>
    <w:rsid w:val="009C1CC9"/>
    <w:rsid w:val="009C1F18"/>
    <w:rsid w:val="009C2213"/>
    <w:rsid w:val="009C26F2"/>
    <w:rsid w:val="009C2C55"/>
    <w:rsid w:val="009C3E3D"/>
    <w:rsid w:val="009C4B37"/>
    <w:rsid w:val="009C5861"/>
    <w:rsid w:val="009C7057"/>
    <w:rsid w:val="009D1589"/>
    <w:rsid w:val="009D180E"/>
    <w:rsid w:val="009D19FD"/>
    <w:rsid w:val="009D3399"/>
    <w:rsid w:val="009D570C"/>
    <w:rsid w:val="009D5C5C"/>
    <w:rsid w:val="009D6C56"/>
    <w:rsid w:val="009D703A"/>
    <w:rsid w:val="009D7F42"/>
    <w:rsid w:val="009E1404"/>
    <w:rsid w:val="009E19E1"/>
    <w:rsid w:val="009E3AEB"/>
    <w:rsid w:val="009E3BF6"/>
    <w:rsid w:val="009E4418"/>
    <w:rsid w:val="009E5A71"/>
    <w:rsid w:val="009E69EB"/>
    <w:rsid w:val="009E768B"/>
    <w:rsid w:val="009E7A54"/>
    <w:rsid w:val="009E7E12"/>
    <w:rsid w:val="009F0180"/>
    <w:rsid w:val="009F0A42"/>
    <w:rsid w:val="009F1438"/>
    <w:rsid w:val="009F1C39"/>
    <w:rsid w:val="009F4FD9"/>
    <w:rsid w:val="009F5238"/>
    <w:rsid w:val="009F5B4F"/>
    <w:rsid w:val="009F5F21"/>
    <w:rsid w:val="009F6210"/>
    <w:rsid w:val="009F6729"/>
    <w:rsid w:val="009F69B3"/>
    <w:rsid w:val="009F714C"/>
    <w:rsid w:val="00A062C2"/>
    <w:rsid w:val="00A06F8F"/>
    <w:rsid w:val="00A10522"/>
    <w:rsid w:val="00A10DF9"/>
    <w:rsid w:val="00A11393"/>
    <w:rsid w:val="00A129DB"/>
    <w:rsid w:val="00A13B79"/>
    <w:rsid w:val="00A145C2"/>
    <w:rsid w:val="00A15AC9"/>
    <w:rsid w:val="00A16459"/>
    <w:rsid w:val="00A20381"/>
    <w:rsid w:val="00A20A70"/>
    <w:rsid w:val="00A21A46"/>
    <w:rsid w:val="00A22489"/>
    <w:rsid w:val="00A22B49"/>
    <w:rsid w:val="00A22E49"/>
    <w:rsid w:val="00A23A93"/>
    <w:rsid w:val="00A23F81"/>
    <w:rsid w:val="00A24F7E"/>
    <w:rsid w:val="00A25B71"/>
    <w:rsid w:val="00A26783"/>
    <w:rsid w:val="00A27A0B"/>
    <w:rsid w:val="00A31490"/>
    <w:rsid w:val="00A32552"/>
    <w:rsid w:val="00A340B4"/>
    <w:rsid w:val="00A3457A"/>
    <w:rsid w:val="00A3700A"/>
    <w:rsid w:val="00A37CE8"/>
    <w:rsid w:val="00A42D3A"/>
    <w:rsid w:val="00A42D87"/>
    <w:rsid w:val="00A4320B"/>
    <w:rsid w:val="00A43901"/>
    <w:rsid w:val="00A43F30"/>
    <w:rsid w:val="00A43FD7"/>
    <w:rsid w:val="00A444A8"/>
    <w:rsid w:val="00A44FFA"/>
    <w:rsid w:val="00A469E5"/>
    <w:rsid w:val="00A475FE"/>
    <w:rsid w:val="00A523C5"/>
    <w:rsid w:val="00A52A3D"/>
    <w:rsid w:val="00A532DF"/>
    <w:rsid w:val="00A55C2E"/>
    <w:rsid w:val="00A56183"/>
    <w:rsid w:val="00A5644E"/>
    <w:rsid w:val="00A56DED"/>
    <w:rsid w:val="00A5712F"/>
    <w:rsid w:val="00A57342"/>
    <w:rsid w:val="00A6058F"/>
    <w:rsid w:val="00A605A7"/>
    <w:rsid w:val="00A62103"/>
    <w:rsid w:val="00A6267A"/>
    <w:rsid w:val="00A63ADF"/>
    <w:rsid w:val="00A63C8C"/>
    <w:rsid w:val="00A64ADB"/>
    <w:rsid w:val="00A67A96"/>
    <w:rsid w:val="00A70172"/>
    <w:rsid w:val="00A707E0"/>
    <w:rsid w:val="00A72633"/>
    <w:rsid w:val="00A72B3A"/>
    <w:rsid w:val="00A7446E"/>
    <w:rsid w:val="00A753B9"/>
    <w:rsid w:val="00A76EAA"/>
    <w:rsid w:val="00A770DB"/>
    <w:rsid w:val="00A772F8"/>
    <w:rsid w:val="00A8003A"/>
    <w:rsid w:val="00A80236"/>
    <w:rsid w:val="00A81157"/>
    <w:rsid w:val="00A82AC7"/>
    <w:rsid w:val="00A84031"/>
    <w:rsid w:val="00A86950"/>
    <w:rsid w:val="00A90244"/>
    <w:rsid w:val="00A92951"/>
    <w:rsid w:val="00A938C8"/>
    <w:rsid w:val="00A94529"/>
    <w:rsid w:val="00A9452F"/>
    <w:rsid w:val="00A94C07"/>
    <w:rsid w:val="00A958EC"/>
    <w:rsid w:val="00A9620E"/>
    <w:rsid w:val="00A97583"/>
    <w:rsid w:val="00AA0635"/>
    <w:rsid w:val="00AA177B"/>
    <w:rsid w:val="00AA3A5A"/>
    <w:rsid w:val="00AA3B96"/>
    <w:rsid w:val="00AA3FF9"/>
    <w:rsid w:val="00AA4A8C"/>
    <w:rsid w:val="00AA4E99"/>
    <w:rsid w:val="00AA560A"/>
    <w:rsid w:val="00AA61F8"/>
    <w:rsid w:val="00AA6A60"/>
    <w:rsid w:val="00AA6FC2"/>
    <w:rsid w:val="00AA6FE0"/>
    <w:rsid w:val="00AA78ED"/>
    <w:rsid w:val="00AB001D"/>
    <w:rsid w:val="00AB040A"/>
    <w:rsid w:val="00AB10A4"/>
    <w:rsid w:val="00AB330C"/>
    <w:rsid w:val="00AB36C2"/>
    <w:rsid w:val="00AB3DA2"/>
    <w:rsid w:val="00AB43BF"/>
    <w:rsid w:val="00AB4503"/>
    <w:rsid w:val="00AB4654"/>
    <w:rsid w:val="00AB55D4"/>
    <w:rsid w:val="00AB5A55"/>
    <w:rsid w:val="00AB71CB"/>
    <w:rsid w:val="00AB7E5D"/>
    <w:rsid w:val="00AC01D5"/>
    <w:rsid w:val="00AC37C2"/>
    <w:rsid w:val="00AC4B9F"/>
    <w:rsid w:val="00AC4DEC"/>
    <w:rsid w:val="00AC5C4D"/>
    <w:rsid w:val="00AC61FA"/>
    <w:rsid w:val="00AD1361"/>
    <w:rsid w:val="00AD1472"/>
    <w:rsid w:val="00AD2102"/>
    <w:rsid w:val="00AD4258"/>
    <w:rsid w:val="00AD4982"/>
    <w:rsid w:val="00AD51C4"/>
    <w:rsid w:val="00AD63AA"/>
    <w:rsid w:val="00AD6B33"/>
    <w:rsid w:val="00AD74FF"/>
    <w:rsid w:val="00AD7D27"/>
    <w:rsid w:val="00AE1098"/>
    <w:rsid w:val="00AE1297"/>
    <w:rsid w:val="00AE1A5E"/>
    <w:rsid w:val="00AE273E"/>
    <w:rsid w:val="00AE28B0"/>
    <w:rsid w:val="00AE305E"/>
    <w:rsid w:val="00AE521C"/>
    <w:rsid w:val="00AE5858"/>
    <w:rsid w:val="00AE66EC"/>
    <w:rsid w:val="00AE7320"/>
    <w:rsid w:val="00AF2510"/>
    <w:rsid w:val="00AF2ADD"/>
    <w:rsid w:val="00AF2C8B"/>
    <w:rsid w:val="00AF315D"/>
    <w:rsid w:val="00AF3479"/>
    <w:rsid w:val="00AF40F4"/>
    <w:rsid w:val="00AF4827"/>
    <w:rsid w:val="00AF484D"/>
    <w:rsid w:val="00B00525"/>
    <w:rsid w:val="00B00A47"/>
    <w:rsid w:val="00B01658"/>
    <w:rsid w:val="00B01A45"/>
    <w:rsid w:val="00B01F35"/>
    <w:rsid w:val="00B02795"/>
    <w:rsid w:val="00B027E1"/>
    <w:rsid w:val="00B03333"/>
    <w:rsid w:val="00B03DDD"/>
    <w:rsid w:val="00B052BC"/>
    <w:rsid w:val="00B05D40"/>
    <w:rsid w:val="00B05E29"/>
    <w:rsid w:val="00B06799"/>
    <w:rsid w:val="00B07689"/>
    <w:rsid w:val="00B07977"/>
    <w:rsid w:val="00B07B94"/>
    <w:rsid w:val="00B129A7"/>
    <w:rsid w:val="00B145E6"/>
    <w:rsid w:val="00B15D03"/>
    <w:rsid w:val="00B16289"/>
    <w:rsid w:val="00B164EC"/>
    <w:rsid w:val="00B165CD"/>
    <w:rsid w:val="00B178F5"/>
    <w:rsid w:val="00B17FAD"/>
    <w:rsid w:val="00B21E98"/>
    <w:rsid w:val="00B21F29"/>
    <w:rsid w:val="00B22218"/>
    <w:rsid w:val="00B2342F"/>
    <w:rsid w:val="00B234C5"/>
    <w:rsid w:val="00B24A29"/>
    <w:rsid w:val="00B24C99"/>
    <w:rsid w:val="00B2585D"/>
    <w:rsid w:val="00B25AC8"/>
    <w:rsid w:val="00B2666D"/>
    <w:rsid w:val="00B26B32"/>
    <w:rsid w:val="00B26E8C"/>
    <w:rsid w:val="00B30A24"/>
    <w:rsid w:val="00B33DBE"/>
    <w:rsid w:val="00B347A1"/>
    <w:rsid w:val="00B34ACF"/>
    <w:rsid w:val="00B352B6"/>
    <w:rsid w:val="00B35676"/>
    <w:rsid w:val="00B35722"/>
    <w:rsid w:val="00B36950"/>
    <w:rsid w:val="00B36EA4"/>
    <w:rsid w:val="00B36F77"/>
    <w:rsid w:val="00B40F8D"/>
    <w:rsid w:val="00B4142D"/>
    <w:rsid w:val="00B41949"/>
    <w:rsid w:val="00B433DC"/>
    <w:rsid w:val="00B43D67"/>
    <w:rsid w:val="00B43FEA"/>
    <w:rsid w:val="00B4542B"/>
    <w:rsid w:val="00B51731"/>
    <w:rsid w:val="00B5194D"/>
    <w:rsid w:val="00B52397"/>
    <w:rsid w:val="00B52C1B"/>
    <w:rsid w:val="00B534A9"/>
    <w:rsid w:val="00B53E17"/>
    <w:rsid w:val="00B5694E"/>
    <w:rsid w:val="00B607EC"/>
    <w:rsid w:val="00B610E6"/>
    <w:rsid w:val="00B62209"/>
    <w:rsid w:val="00B631C6"/>
    <w:rsid w:val="00B66868"/>
    <w:rsid w:val="00B67357"/>
    <w:rsid w:val="00B67B00"/>
    <w:rsid w:val="00B67B85"/>
    <w:rsid w:val="00B7073B"/>
    <w:rsid w:val="00B720FE"/>
    <w:rsid w:val="00B734A8"/>
    <w:rsid w:val="00B735B0"/>
    <w:rsid w:val="00B74578"/>
    <w:rsid w:val="00B75137"/>
    <w:rsid w:val="00B753C1"/>
    <w:rsid w:val="00B76764"/>
    <w:rsid w:val="00B774C6"/>
    <w:rsid w:val="00B80023"/>
    <w:rsid w:val="00B81998"/>
    <w:rsid w:val="00B82094"/>
    <w:rsid w:val="00B82B76"/>
    <w:rsid w:val="00B8316E"/>
    <w:rsid w:val="00B837B2"/>
    <w:rsid w:val="00B83BDC"/>
    <w:rsid w:val="00B84AB1"/>
    <w:rsid w:val="00B84BC5"/>
    <w:rsid w:val="00B86DAA"/>
    <w:rsid w:val="00B9024E"/>
    <w:rsid w:val="00B91879"/>
    <w:rsid w:val="00B919A3"/>
    <w:rsid w:val="00B923B4"/>
    <w:rsid w:val="00B93CE4"/>
    <w:rsid w:val="00B95EB7"/>
    <w:rsid w:val="00B97714"/>
    <w:rsid w:val="00B97BA2"/>
    <w:rsid w:val="00BA0205"/>
    <w:rsid w:val="00BA1C49"/>
    <w:rsid w:val="00BA21DD"/>
    <w:rsid w:val="00BA239E"/>
    <w:rsid w:val="00BA322E"/>
    <w:rsid w:val="00BA361A"/>
    <w:rsid w:val="00BA3CBB"/>
    <w:rsid w:val="00BA3F68"/>
    <w:rsid w:val="00BA6AF8"/>
    <w:rsid w:val="00BB1CD1"/>
    <w:rsid w:val="00BB3163"/>
    <w:rsid w:val="00BB5F56"/>
    <w:rsid w:val="00BB7521"/>
    <w:rsid w:val="00BC02C9"/>
    <w:rsid w:val="00BC155F"/>
    <w:rsid w:val="00BC3AE2"/>
    <w:rsid w:val="00BC42AB"/>
    <w:rsid w:val="00BC59FA"/>
    <w:rsid w:val="00BD2593"/>
    <w:rsid w:val="00BD3B74"/>
    <w:rsid w:val="00BD4EDF"/>
    <w:rsid w:val="00BD5EF6"/>
    <w:rsid w:val="00BE5FE8"/>
    <w:rsid w:val="00BE6482"/>
    <w:rsid w:val="00BE71A0"/>
    <w:rsid w:val="00BE72CC"/>
    <w:rsid w:val="00BE7885"/>
    <w:rsid w:val="00BE7B54"/>
    <w:rsid w:val="00BF028F"/>
    <w:rsid w:val="00BF23B5"/>
    <w:rsid w:val="00BF2DA0"/>
    <w:rsid w:val="00BF4850"/>
    <w:rsid w:val="00BF6B0A"/>
    <w:rsid w:val="00C00378"/>
    <w:rsid w:val="00C00623"/>
    <w:rsid w:val="00C03C58"/>
    <w:rsid w:val="00C047B7"/>
    <w:rsid w:val="00C047D1"/>
    <w:rsid w:val="00C04F1A"/>
    <w:rsid w:val="00C05CAF"/>
    <w:rsid w:val="00C0626B"/>
    <w:rsid w:val="00C07F2D"/>
    <w:rsid w:val="00C108DC"/>
    <w:rsid w:val="00C10DC9"/>
    <w:rsid w:val="00C11230"/>
    <w:rsid w:val="00C11817"/>
    <w:rsid w:val="00C11D20"/>
    <w:rsid w:val="00C12DFD"/>
    <w:rsid w:val="00C1450F"/>
    <w:rsid w:val="00C1540F"/>
    <w:rsid w:val="00C173F4"/>
    <w:rsid w:val="00C21E47"/>
    <w:rsid w:val="00C230B4"/>
    <w:rsid w:val="00C231DA"/>
    <w:rsid w:val="00C23FFF"/>
    <w:rsid w:val="00C24F36"/>
    <w:rsid w:val="00C25866"/>
    <w:rsid w:val="00C2598A"/>
    <w:rsid w:val="00C25AD2"/>
    <w:rsid w:val="00C25E78"/>
    <w:rsid w:val="00C2740C"/>
    <w:rsid w:val="00C275DA"/>
    <w:rsid w:val="00C27B4C"/>
    <w:rsid w:val="00C30B6A"/>
    <w:rsid w:val="00C325FB"/>
    <w:rsid w:val="00C338E4"/>
    <w:rsid w:val="00C341C6"/>
    <w:rsid w:val="00C34D58"/>
    <w:rsid w:val="00C3533F"/>
    <w:rsid w:val="00C35D55"/>
    <w:rsid w:val="00C409CF"/>
    <w:rsid w:val="00C40BC7"/>
    <w:rsid w:val="00C4110B"/>
    <w:rsid w:val="00C41FB4"/>
    <w:rsid w:val="00C42E0F"/>
    <w:rsid w:val="00C4315D"/>
    <w:rsid w:val="00C442A8"/>
    <w:rsid w:val="00C443B3"/>
    <w:rsid w:val="00C456B2"/>
    <w:rsid w:val="00C459EC"/>
    <w:rsid w:val="00C47A6D"/>
    <w:rsid w:val="00C47AF1"/>
    <w:rsid w:val="00C47BAA"/>
    <w:rsid w:val="00C50551"/>
    <w:rsid w:val="00C50597"/>
    <w:rsid w:val="00C50D29"/>
    <w:rsid w:val="00C50D98"/>
    <w:rsid w:val="00C50DB6"/>
    <w:rsid w:val="00C555F4"/>
    <w:rsid w:val="00C55C3F"/>
    <w:rsid w:val="00C55E7E"/>
    <w:rsid w:val="00C55F12"/>
    <w:rsid w:val="00C56035"/>
    <w:rsid w:val="00C56861"/>
    <w:rsid w:val="00C573DD"/>
    <w:rsid w:val="00C6174A"/>
    <w:rsid w:val="00C61B0D"/>
    <w:rsid w:val="00C62057"/>
    <w:rsid w:val="00C626D4"/>
    <w:rsid w:val="00C631E0"/>
    <w:rsid w:val="00C6331C"/>
    <w:rsid w:val="00C6506C"/>
    <w:rsid w:val="00C655E3"/>
    <w:rsid w:val="00C65A67"/>
    <w:rsid w:val="00C669F3"/>
    <w:rsid w:val="00C67DB5"/>
    <w:rsid w:val="00C71DA2"/>
    <w:rsid w:val="00C72102"/>
    <w:rsid w:val="00C73119"/>
    <w:rsid w:val="00C7378D"/>
    <w:rsid w:val="00C746A4"/>
    <w:rsid w:val="00C74FD1"/>
    <w:rsid w:val="00C75106"/>
    <w:rsid w:val="00C75EA7"/>
    <w:rsid w:val="00C75FCA"/>
    <w:rsid w:val="00C763F1"/>
    <w:rsid w:val="00C7683F"/>
    <w:rsid w:val="00C76BF4"/>
    <w:rsid w:val="00C77B1E"/>
    <w:rsid w:val="00C77ED6"/>
    <w:rsid w:val="00C80548"/>
    <w:rsid w:val="00C807D9"/>
    <w:rsid w:val="00C82419"/>
    <w:rsid w:val="00C833E0"/>
    <w:rsid w:val="00C83443"/>
    <w:rsid w:val="00C860AB"/>
    <w:rsid w:val="00C86EF5"/>
    <w:rsid w:val="00C87823"/>
    <w:rsid w:val="00C9011A"/>
    <w:rsid w:val="00C90640"/>
    <w:rsid w:val="00C9064A"/>
    <w:rsid w:val="00C90829"/>
    <w:rsid w:val="00C90F3A"/>
    <w:rsid w:val="00C91A5B"/>
    <w:rsid w:val="00C922D9"/>
    <w:rsid w:val="00C93F80"/>
    <w:rsid w:val="00C94BCB"/>
    <w:rsid w:val="00C970F8"/>
    <w:rsid w:val="00CA1379"/>
    <w:rsid w:val="00CA1931"/>
    <w:rsid w:val="00CA2ED5"/>
    <w:rsid w:val="00CA3361"/>
    <w:rsid w:val="00CA368D"/>
    <w:rsid w:val="00CA36AB"/>
    <w:rsid w:val="00CA38D7"/>
    <w:rsid w:val="00CA39E9"/>
    <w:rsid w:val="00CA4D31"/>
    <w:rsid w:val="00CA68F7"/>
    <w:rsid w:val="00CA6CA1"/>
    <w:rsid w:val="00CA766F"/>
    <w:rsid w:val="00CA7B3C"/>
    <w:rsid w:val="00CA7B76"/>
    <w:rsid w:val="00CB0D95"/>
    <w:rsid w:val="00CB144E"/>
    <w:rsid w:val="00CB1699"/>
    <w:rsid w:val="00CB2191"/>
    <w:rsid w:val="00CB2EF4"/>
    <w:rsid w:val="00CB4654"/>
    <w:rsid w:val="00CB5238"/>
    <w:rsid w:val="00CB53A6"/>
    <w:rsid w:val="00CB5722"/>
    <w:rsid w:val="00CB5829"/>
    <w:rsid w:val="00CB5F0E"/>
    <w:rsid w:val="00CB692D"/>
    <w:rsid w:val="00CB7090"/>
    <w:rsid w:val="00CC03C3"/>
    <w:rsid w:val="00CC09D5"/>
    <w:rsid w:val="00CC139F"/>
    <w:rsid w:val="00CC141A"/>
    <w:rsid w:val="00CC26F8"/>
    <w:rsid w:val="00CC3A40"/>
    <w:rsid w:val="00CC52A3"/>
    <w:rsid w:val="00CC775A"/>
    <w:rsid w:val="00CC7E0A"/>
    <w:rsid w:val="00CD13BE"/>
    <w:rsid w:val="00CD3128"/>
    <w:rsid w:val="00CD345E"/>
    <w:rsid w:val="00CD387B"/>
    <w:rsid w:val="00CD4303"/>
    <w:rsid w:val="00CD4507"/>
    <w:rsid w:val="00CD4830"/>
    <w:rsid w:val="00CD54A5"/>
    <w:rsid w:val="00CD6E71"/>
    <w:rsid w:val="00CD7294"/>
    <w:rsid w:val="00CE0A95"/>
    <w:rsid w:val="00CE3035"/>
    <w:rsid w:val="00CE34CA"/>
    <w:rsid w:val="00CE4356"/>
    <w:rsid w:val="00CE4D06"/>
    <w:rsid w:val="00CE4EAE"/>
    <w:rsid w:val="00CE54E8"/>
    <w:rsid w:val="00CE59F7"/>
    <w:rsid w:val="00CE5AFA"/>
    <w:rsid w:val="00CE5EE9"/>
    <w:rsid w:val="00CE7943"/>
    <w:rsid w:val="00CF01DE"/>
    <w:rsid w:val="00CF0B77"/>
    <w:rsid w:val="00CF15B8"/>
    <w:rsid w:val="00CF1892"/>
    <w:rsid w:val="00CF1A7A"/>
    <w:rsid w:val="00CF1CED"/>
    <w:rsid w:val="00CF375D"/>
    <w:rsid w:val="00CF44D9"/>
    <w:rsid w:val="00CF4B2F"/>
    <w:rsid w:val="00CF53AC"/>
    <w:rsid w:val="00CF5A26"/>
    <w:rsid w:val="00CF683B"/>
    <w:rsid w:val="00CF6954"/>
    <w:rsid w:val="00CF7F2E"/>
    <w:rsid w:val="00D0036E"/>
    <w:rsid w:val="00D004DF"/>
    <w:rsid w:val="00D00D8C"/>
    <w:rsid w:val="00D01115"/>
    <w:rsid w:val="00D024DD"/>
    <w:rsid w:val="00D027B4"/>
    <w:rsid w:val="00D0373A"/>
    <w:rsid w:val="00D05100"/>
    <w:rsid w:val="00D05844"/>
    <w:rsid w:val="00D062B0"/>
    <w:rsid w:val="00D06BA3"/>
    <w:rsid w:val="00D06D3D"/>
    <w:rsid w:val="00D0740C"/>
    <w:rsid w:val="00D07BE9"/>
    <w:rsid w:val="00D11B3D"/>
    <w:rsid w:val="00D13CA5"/>
    <w:rsid w:val="00D1641F"/>
    <w:rsid w:val="00D166C7"/>
    <w:rsid w:val="00D16FD8"/>
    <w:rsid w:val="00D17828"/>
    <w:rsid w:val="00D20231"/>
    <w:rsid w:val="00D217D3"/>
    <w:rsid w:val="00D21C55"/>
    <w:rsid w:val="00D22B7B"/>
    <w:rsid w:val="00D26F6E"/>
    <w:rsid w:val="00D27B3E"/>
    <w:rsid w:val="00D3078C"/>
    <w:rsid w:val="00D32D83"/>
    <w:rsid w:val="00D34BCD"/>
    <w:rsid w:val="00D36774"/>
    <w:rsid w:val="00D377DB"/>
    <w:rsid w:val="00D37AB2"/>
    <w:rsid w:val="00D413A0"/>
    <w:rsid w:val="00D43B46"/>
    <w:rsid w:val="00D43EC4"/>
    <w:rsid w:val="00D44B5A"/>
    <w:rsid w:val="00D45640"/>
    <w:rsid w:val="00D45D16"/>
    <w:rsid w:val="00D45D77"/>
    <w:rsid w:val="00D46519"/>
    <w:rsid w:val="00D472D2"/>
    <w:rsid w:val="00D4738A"/>
    <w:rsid w:val="00D4770A"/>
    <w:rsid w:val="00D477EA"/>
    <w:rsid w:val="00D47FBD"/>
    <w:rsid w:val="00D51139"/>
    <w:rsid w:val="00D51A3F"/>
    <w:rsid w:val="00D520BE"/>
    <w:rsid w:val="00D52F05"/>
    <w:rsid w:val="00D53C61"/>
    <w:rsid w:val="00D54509"/>
    <w:rsid w:val="00D55899"/>
    <w:rsid w:val="00D55DFA"/>
    <w:rsid w:val="00D55F71"/>
    <w:rsid w:val="00D56D2E"/>
    <w:rsid w:val="00D56EC2"/>
    <w:rsid w:val="00D57CC9"/>
    <w:rsid w:val="00D60A41"/>
    <w:rsid w:val="00D627BC"/>
    <w:rsid w:val="00D63482"/>
    <w:rsid w:val="00D66371"/>
    <w:rsid w:val="00D66827"/>
    <w:rsid w:val="00D70600"/>
    <w:rsid w:val="00D72744"/>
    <w:rsid w:val="00D74F34"/>
    <w:rsid w:val="00D755E1"/>
    <w:rsid w:val="00D81064"/>
    <w:rsid w:val="00D81559"/>
    <w:rsid w:val="00D81794"/>
    <w:rsid w:val="00D8204C"/>
    <w:rsid w:val="00D82172"/>
    <w:rsid w:val="00D830F1"/>
    <w:rsid w:val="00D832CD"/>
    <w:rsid w:val="00D84661"/>
    <w:rsid w:val="00D84665"/>
    <w:rsid w:val="00D85B53"/>
    <w:rsid w:val="00D87AE7"/>
    <w:rsid w:val="00D903A7"/>
    <w:rsid w:val="00D91131"/>
    <w:rsid w:val="00D91794"/>
    <w:rsid w:val="00D920AF"/>
    <w:rsid w:val="00D93D5B"/>
    <w:rsid w:val="00D95288"/>
    <w:rsid w:val="00D96004"/>
    <w:rsid w:val="00D97054"/>
    <w:rsid w:val="00D97887"/>
    <w:rsid w:val="00DA0B87"/>
    <w:rsid w:val="00DA1AE8"/>
    <w:rsid w:val="00DA32B7"/>
    <w:rsid w:val="00DA3517"/>
    <w:rsid w:val="00DA4A9A"/>
    <w:rsid w:val="00DA54D9"/>
    <w:rsid w:val="00DA6564"/>
    <w:rsid w:val="00DA67EB"/>
    <w:rsid w:val="00DA6CC4"/>
    <w:rsid w:val="00DB183C"/>
    <w:rsid w:val="00DB1E93"/>
    <w:rsid w:val="00DB4BC4"/>
    <w:rsid w:val="00DB5A37"/>
    <w:rsid w:val="00DB6F08"/>
    <w:rsid w:val="00DB700E"/>
    <w:rsid w:val="00DC1CEF"/>
    <w:rsid w:val="00DC1E2C"/>
    <w:rsid w:val="00DC2AE8"/>
    <w:rsid w:val="00DC2C44"/>
    <w:rsid w:val="00DC2D94"/>
    <w:rsid w:val="00DC4197"/>
    <w:rsid w:val="00DC45D1"/>
    <w:rsid w:val="00DC6031"/>
    <w:rsid w:val="00DC63B0"/>
    <w:rsid w:val="00DD00F1"/>
    <w:rsid w:val="00DD077A"/>
    <w:rsid w:val="00DD1458"/>
    <w:rsid w:val="00DD2C46"/>
    <w:rsid w:val="00DD3D67"/>
    <w:rsid w:val="00DD4772"/>
    <w:rsid w:val="00DD505C"/>
    <w:rsid w:val="00DD5351"/>
    <w:rsid w:val="00DD5BFF"/>
    <w:rsid w:val="00DD5EC0"/>
    <w:rsid w:val="00DD62C2"/>
    <w:rsid w:val="00DD7561"/>
    <w:rsid w:val="00DE030F"/>
    <w:rsid w:val="00DE0F1F"/>
    <w:rsid w:val="00DE1390"/>
    <w:rsid w:val="00DE4ADC"/>
    <w:rsid w:val="00DE6FDF"/>
    <w:rsid w:val="00DE7A1B"/>
    <w:rsid w:val="00DF02E1"/>
    <w:rsid w:val="00DF0DBB"/>
    <w:rsid w:val="00DF2CCC"/>
    <w:rsid w:val="00DF5387"/>
    <w:rsid w:val="00DF7ECF"/>
    <w:rsid w:val="00E008E2"/>
    <w:rsid w:val="00E00B8F"/>
    <w:rsid w:val="00E013CB"/>
    <w:rsid w:val="00E0163E"/>
    <w:rsid w:val="00E01A00"/>
    <w:rsid w:val="00E03411"/>
    <w:rsid w:val="00E03BAF"/>
    <w:rsid w:val="00E07154"/>
    <w:rsid w:val="00E073E2"/>
    <w:rsid w:val="00E07422"/>
    <w:rsid w:val="00E0774B"/>
    <w:rsid w:val="00E117AB"/>
    <w:rsid w:val="00E133DF"/>
    <w:rsid w:val="00E13A43"/>
    <w:rsid w:val="00E13AD7"/>
    <w:rsid w:val="00E154DE"/>
    <w:rsid w:val="00E15847"/>
    <w:rsid w:val="00E208FE"/>
    <w:rsid w:val="00E20E4E"/>
    <w:rsid w:val="00E21151"/>
    <w:rsid w:val="00E2117A"/>
    <w:rsid w:val="00E23303"/>
    <w:rsid w:val="00E238E2"/>
    <w:rsid w:val="00E24473"/>
    <w:rsid w:val="00E24A96"/>
    <w:rsid w:val="00E24CBB"/>
    <w:rsid w:val="00E250C8"/>
    <w:rsid w:val="00E252A8"/>
    <w:rsid w:val="00E352E1"/>
    <w:rsid w:val="00E35851"/>
    <w:rsid w:val="00E377D5"/>
    <w:rsid w:val="00E40A08"/>
    <w:rsid w:val="00E41721"/>
    <w:rsid w:val="00E41A22"/>
    <w:rsid w:val="00E41B04"/>
    <w:rsid w:val="00E4287A"/>
    <w:rsid w:val="00E45086"/>
    <w:rsid w:val="00E462E1"/>
    <w:rsid w:val="00E46C01"/>
    <w:rsid w:val="00E46FC1"/>
    <w:rsid w:val="00E47751"/>
    <w:rsid w:val="00E47997"/>
    <w:rsid w:val="00E510B5"/>
    <w:rsid w:val="00E5161E"/>
    <w:rsid w:val="00E52F25"/>
    <w:rsid w:val="00E552BB"/>
    <w:rsid w:val="00E55D8D"/>
    <w:rsid w:val="00E5609E"/>
    <w:rsid w:val="00E56F06"/>
    <w:rsid w:val="00E5710E"/>
    <w:rsid w:val="00E61C4F"/>
    <w:rsid w:val="00E6278B"/>
    <w:rsid w:val="00E62BA7"/>
    <w:rsid w:val="00E63175"/>
    <w:rsid w:val="00E63604"/>
    <w:rsid w:val="00E63A73"/>
    <w:rsid w:val="00E63E6C"/>
    <w:rsid w:val="00E644DA"/>
    <w:rsid w:val="00E645AD"/>
    <w:rsid w:val="00E64AAB"/>
    <w:rsid w:val="00E64D85"/>
    <w:rsid w:val="00E6647D"/>
    <w:rsid w:val="00E6653B"/>
    <w:rsid w:val="00E67C42"/>
    <w:rsid w:val="00E72057"/>
    <w:rsid w:val="00E72511"/>
    <w:rsid w:val="00E72E6A"/>
    <w:rsid w:val="00E74B11"/>
    <w:rsid w:val="00E75100"/>
    <w:rsid w:val="00E751EC"/>
    <w:rsid w:val="00E75DE8"/>
    <w:rsid w:val="00E7684D"/>
    <w:rsid w:val="00E770E0"/>
    <w:rsid w:val="00E77810"/>
    <w:rsid w:val="00E803B0"/>
    <w:rsid w:val="00E80F05"/>
    <w:rsid w:val="00E81974"/>
    <w:rsid w:val="00E81B64"/>
    <w:rsid w:val="00E8214C"/>
    <w:rsid w:val="00E83406"/>
    <w:rsid w:val="00E848A8"/>
    <w:rsid w:val="00E84DF1"/>
    <w:rsid w:val="00E86A5C"/>
    <w:rsid w:val="00E93CBF"/>
    <w:rsid w:val="00E948AB"/>
    <w:rsid w:val="00E94DF1"/>
    <w:rsid w:val="00E9565D"/>
    <w:rsid w:val="00E96B86"/>
    <w:rsid w:val="00E96F72"/>
    <w:rsid w:val="00EA131B"/>
    <w:rsid w:val="00EA15C1"/>
    <w:rsid w:val="00EA4858"/>
    <w:rsid w:val="00EA68B2"/>
    <w:rsid w:val="00EA6D35"/>
    <w:rsid w:val="00EB1350"/>
    <w:rsid w:val="00EB2640"/>
    <w:rsid w:val="00EB42E8"/>
    <w:rsid w:val="00EB4E29"/>
    <w:rsid w:val="00EB53F7"/>
    <w:rsid w:val="00EB56D9"/>
    <w:rsid w:val="00EB669B"/>
    <w:rsid w:val="00EB794C"/>
    <w:rsid w:val="00EB7D1B"/>
    <w:rsid w:val="00EC0106"/>
    <w:rsid w:val="00EC234E"/>
    <w:rsid w:val="00EC2DEB"/>
    <w:rsid w:val="00EC4531"/>
    <w:rsid w:val="00EC5417"/>
    <w:rsid w:val="00EC59BA"/>
    <w:rsid w:val="00EC5B37"/>
    <w:rsid w:val="00EC72E9"/>
    <w:rsid w:val="00EC7F1B"/>
    <w:rsid w:val="00ED0EC1"/>
    <w:rsid w:val="00ED2A4F"/>
    <w:rsid w:val="00ED2D12"/>
    <w:rsid w:val="00ED3CC8"/>
    <w:rsid w:val="00ED3D38"/>
    <w:rsid w:val="00ED6BEE"/>
    <w:rsid w:val="00ED75AB"/>
    <w:rsid w:val="00EE20D6"/>
    <w:rsid w:val="00EE3250"/>
    <w:rsid w:val="00EE3C05"/>
    <w:rsid w:val="00EE42F6"/>
    <w:rsid w:val="00EE5740"/>
    <w:rsid w:val="00EE6A21"/>
    <w:rsid w:val="00EE71C9"/>
    <w:rsid w:val="00EE7A58"/>
    <w:rsid w:val="00EE7F8F"/>
    <w:rsid w:val="00EF0951"/>
    <w:rsid w:val="00EF0CA8"/>
    <w:rsid w:val="00EF102E"/>
    <w:rsid w:val="00EF1D5E"/>
    <w:rsid w:val="00EF2DA5"/>
    <w:rsid w:val="00EF3036"/>
    <w:rsid w:val="00EF43AD"/>
    <w:rsid w:val="00EF46C8"/>
    <w:rsid w:val="00EF4866"/>
    <w:rsid w:val="00EF4CF5"/>
    <w:rsid w:val="00EF4D68"/>
    <w:rsid w:val="00EF5758"/>
    <w:rsid w:val="00EF63C9"/>
    <w:rsid w:val="00F00F84"/>
    <w:rsid w:val="00F0277A"/>
    <w:rsid w:val="00F034DE"/>
    <w:rsid w:val="00F03E56"/>
    <w:rsid w:val="00F04011"/>
    <w:rsid w:val="00F046C3"/>
    <w:rsid w:val="00F059AD"/>
    <w:rsid w:val="00F0649C"/>
    <w:rsid w:val="00F118FA"/>
    <w:rsid w:val="00F12546"/>
    <w:rsid w:val="00F1475E"/>
    <w:rsid w:val="00F14FA3"/>
    <w:rsid w:val="00F15997"/>
    <w:rsid w:val="00F15B7F"/>
    <w:rsid w:val="00F17720"/>
    <w:rsid w:val="00F178A0"/>
    <w:rsid w:val="00F21F1B"/>
    <w:rsid w:val="00F22B4A"/>
    <w:rsid w:val="00F23111"/>
    <w:rsid w:val="00F245C8"/>
    <w:rsid w:val="00F245D2"/>
    <w:rsid w:val="00F24C0D"/>
    <w:rsid w:val="00F252B6"/>
    <w:rsid w:val="00F26DBA"/>
    <w:rsid w:val="00F2753A"/>
    <w:rsid w:val="00F30C6C"/>
    <w:rsid w:val="00F31697"/>
    <w:rsid w:val="00F3241F"/>
    <w:rsid w:val="00F32673"/>
    <w:rsid w:val="00F32F4F"/>
    <w:rsid w:val="00F3455B"/>
    <w:rsid w:val="00F358A5"/>
    <w:rsid w:val="00F36741"/>
    <w:rsid w:val="00F376C6"/>
    <w:rsid w:val="00F376FA"/>
    <w:rsid w:val="00F41779"/>
    <w:rsid w:val="00F42E56"/>
    <w:rsid w:val="00F42F2F"/>
    <w:rsid w:val="00F43F87"/>
    <w:rsid w:val="00F45FBE"/>
    <w:rsid w:val="00F467C2"/>
    <w:rsid w:val="00F46B59"/>
    <w:rsid w:val="00F50635"/>
    <w:rsid w:val="00F517C1"/>
    <w:rsid w:val="00F52725"/>
    <w:rsid w:val="00F52948"/>
    <w:rsid w:val="00F52ECA"/>
    <w:rsid w:val="00F531A7"/>
    <w:rsid w:val="00F5352F"/>
    <w:rsid w:val="00F536D8"/>
    <w:rsid w:val="00F53D4D"/>
    <w:rsid w:val="00F54E20"/>
    <w:rsid w:val="00F55F59"/>
    <w:rsid w:val="00F569D1"/>
    <w:rsid w:val="00F56BC0"/>
    <w:rsid w:val="00F57BCA"/>
    <w:rsid w:val="00F57E2C"/>
    <w:rsid w:val="00F61B4F"/>
    <w:rsid w:val="00F62F32"/>
    <w:rsid w:val="00F6392A"/>
    <w:rsid w:val="00F63F37"/>
    <w:rsid w:val="00F64A41"/>
    <w:rsid w:val="00F65025"/>
    <w:rsid w:val="00F6771D"/>
    <w:rsid w:val="00F67B41"/>
    <w:rsid w:val="00F67EE8"/>
    <w:rsid w:val="00F7044C"/>
    <w:rsid w:val="00F70A6E"/>
    <w:rsid w:val="00F70B4F"/>
    <w:rsid w:val="00F7138E"/>
    <w:rsid w:val="00F71CD1"/>
    <w:rsid w:val="00F727C3"/>
    <w:rsid w:val="00F73646"/>
    <w:rsid w:val="00F742DF"/>
    <w:rsid w:val="00F75B42"/>
    <w:rsid w:val="00F75D9A"/>
    <w:rsid w:val="00F76001"/>
    <w:rsid w:val="00F76105"/>
    <w:rsid w:val="00F77A7D"/>
    <w:rsid w:val="00F80345"/>
    <w:rsid w:val="00F804BA"/>
    <w:rsid w:val="00F816BC"/>
    <w:rsid w:val="00F82492"/>
    <w:rsid w:val="00F827FE"/>
    <w:rsid w:val="00F828E0"/>
    <w:rsid w:val="00F83832"/>
    <w:rsid w:val="00F861A6"/>
    <w:rsid w:val="00F861FB"/>
    <w:rsid w:val="00F8761F"/>
    <w:rsid w:val="00F87F57"/>
    <w:rsid w:val="00F9059B"/>
    <w:rsid w:val="00F90B46"/>
    <w:rsid w:val="00F91221"/>
    <w:rsid w:val="00F91A62"/>
    <w:rsid w:val="00F91C1F"/>
    <w:rsid w:val="00F9202A"/>
    <w:rsid w:val="00F924ED"/>
    <w:rsid w:val="00F96E05"/>
    <w:rsid w:val="00F972DB"/>
    <w:rsid w:val="00FA0ECF"/>
    <w:rsid w:val="00FA1C96"/>
    <w:rsid w:val="00FA2435"/>
    <w:rsid w:val="00FA2F3B"/>
    <w:rsid w:val="00FA2F7F"/>
    <w:rsid w:val="00FA4563"/>
    <w:rsid w:val="00FA5026"/>
    <w:rsid w:val="00FA53DA"/>
    <w:rsid w:val="00FA60A4"/>
    <w:rsid w:val="00FB0169"/>
    <w:rsid w:val="00FB1DCF"/>
    <w:rsid w:val="00FB28D9"/>
    <w:rsid w:val="00FB385D"/>
    <w:rsid w:val="00FB3CA5"/>
    <w:rsid w:val="00FB3EB4"/>
    <w:rsid w:val="00FB4EC6"/>
    <w:rsid w:val="00FB504B"/>
    <w:rsid w:val="00FB6B86"/>
    <w:rsid w:val="00FB737C"/>
    <w:rsid w:val="00FC07DC"/>
    <w:rsid w:val="00FC07F4"/>
    <w:rsid w:val="00FC17DE"/>
    <w:rsid w:val="00FC20BA"/>
    <w:rsid w:val="00FC311C"/>
    <w:rsid w:val="00FC341A"/>
    <w:rsid w:val="00FC3CA1"/>
    <w:rsid w:val="00FC4C89"/>
    <w:rsid w:val="00FC4F71"/>
    <w:rsid w:val="00FC5435"/>
    <w:rsid w:val="00FC56A2"/>
    <w:rsid w:val="00FC5F08"/>
    <w:rsid w:val="00FC66E7"/>
    <w:rsid w:val="00FC6748"/>
    <w:rsid w:val="00FC764D"/>
    <w:rsid w:val="00FD0699"/>
    <w:rsid w:val="00FD0795"/>
    <w:rsid w:val="00FD22DD"/>
    <w:rsid w:val="00FD25AC"/>
    <w:rsid w:val="00FE0134"/>
    <w:rsid w:val="00FE053E"/>
    <w:rsid w:val="00FE095D"/>
    <w:rsid w:val="00FE1B81"/>
    <w:rsid w:val="00FE2C67"/>
    <w:rsid w:val="00FE515E"/>
    <w:rsid w:val="00FE7858"/>
    <w:rsid w:val="00FF11F4"/>
    <w:rsid w:val="00FF298B"/>
    <w:rsid w:val="00FF37CE"/>
    <w:rsid w:val="00FF55C6"/>
    <w:rsid w:val="00FF567D"/>
    <w:rsid w:val="00FF5721"/>
    <w:rsid w:val="00FF5A12"/>
    <w:rsid w:val="012E59E9"/>
    <w:rsid w:val="016F4DFC"/>
    <w:rsid w:val="019D420B"/>
    <w:rsid w:val="01F04FA0"/>
    <w:rsid w:val="01FD609D"/>
    <w:rsid w:val="023774D5"/>
    <w:rsid w:val="024F051D"/>
    <w:rsid w:val="02543DC9"/>
    <w:rsid w:val="028A32CD"/>
    <w:rsid w:val="02997A9C"/>
    <w:rsid w:val="02D74B40"/>
    <w:rsid w:val="02F863F7"/>
    <w:rsid w:val="03394D5A"/>
    <w:rsid w:val="03852144"/>
    <w:rsid w:val="03D36B85"/>
    <w:rsid w:val="0430667E"/>
    <w:rsid w:val="04561479"/>
    <w:rsid w:val="04873F2E"/>
    <w:rsid w:val="04BA0275"/>
    <w:rsid w:val="05107E95"/>
    <w:rsid w:val="052D0A47"/>
    <w:rsid w:val="0532384F"/>
    <w:rsid w:val="056E3051"/>
    <w:rsid w:val="0577174A"/>
    <w:rsid w:val="05795B7C"/>
    <w:rsid w:val="05BF4F0E"/>
    <w:rsid w:val="05DB4947"/>
    <w:rsid w:val="05DE188C"/>
    <w:rsid w:val="05E337FC"/>
    <w:rsid w:val="05FE532D"/>
    <w:rsid w:val="06277B8D"/>
    <w:rsid w:val="064750D7"/>
    <w:rsid w:val="06581AF4"/>
    <w:rsid w:val="06676354"/>
    <w:rsid w:val="06874187"/>
    <w:rsid w:val="07597CD0"/>
    <w:rsid w:val="07682716"/>
    <w:rsid w:val="07845E4A"/>
    <w:rsid w:val="07953D7F"/>
    <w:rsid w:val="07B73F35"/>
    <w:rsid w:val="07DE1CA3"/>
    <w:rsid w:val="07E474DB"/>
    <w:rsid w:val="07F87F38"/>
    <w:rsid w:val="08181E21"/>
    <w:rsid w:val="08BB73DD"/>
    <w:rsid w:val="09083E22"/>
    <w:rsid w:val="092359EB"/>
    <w:rsid w:val="09A632B4"/>
    <w:rsid w:val="09AD06A3"/>
    <w:rsid w:val="09C5548B"/>
    <w:rsid w:val="09CB3084"/>
    <w:rsid w:val="09CD4636"/>
    <w:rsid w:val="0A31076B"/>
    <w:rsid w:val="0A655299"/>
    <w:rsid w:val="0A9334FE"/>
    <w:rsid w:val="0A961F00"/>
    <w:rsid w:val="0A9C320A"/>
    <w:rsid w:val="0AB87005"/>
    <w:rsid w:val="0ABC2665"/>
    <w:rsid w:val="0AE02A31"/>
    <w:rsid w:val="0B2F608C"/>
    <w:rsid w:val="0B537D79"/>
    <w:rsid w:val="0B8A1102"/>
    <w:rsid w:val="0BCB2C22"/>
    <w:rsid w:val="0C2F1067"/>
    <w:rsid w:val="0C4A346B"/>
    <w:rsid w:val="0C656D19"/>
    <w:rsid w:val="0C7842D8"/>
    <w:rsid w:val="0CF678DB"/>
    <w:rsid w:val="0D0B6868"/>
    <w:rsid w:val="0D6526F9"/>
    <w:rsid w:val="0D9A3AEF"/>
    <w:rsid w:val="0DA51790"/>
    <w:rsid w:val="0E6574A4"/>
    <w:rsid w:val="0ED33DBA"/>
    <w:rsid w:val="0F030B5E"/>
    <w:rsid w:val="0F4946D0"/>
    <w:rsid w:val="0F67724C"/>
    <w:rsid w:val="0F753717"/>
    <w:rsid w:val="0F7672E5"/>
    <w:rsid w:val="0F85062C"/>
    <w:rsid w:val="0FD2692E"/>
    <w:rsid w:val="0FFD14A0"/>
    <w:rsid w:val="10345380"/>
    <w:rsid w:val="104B3C52"/>
    <w:rsid w:val="106B4B1A"/>
    <w:rsid w:val="10A6731F"/>
    <w:rsid w:val="10E70C76"/>
    <w:rsid w:val="110A0AA3"/>
    <w:rsid w:val="110B1333"/>
    <w:rsid w:val="111D5683"/>
    <w:rsid w:val="116018FD"/>
    <w:rsid w:val="11663E96"/>
    <w:rsid w:val="118565CD"/>
    <w:rsid w:val="118F2020"/>
    <w:rsid w:val="11934756"/>
    <w:rsid w:val="11B109D1"/>
    <w:rsid w:val="11F37030"/>
    <w:rsid w:val="12107727"/>
    <w:rsid w:val="122670DE"/>
    <w:rsid w:val="12AD4012"/>
    <w:rsid w:val="12CB18A0"/>
    <w:rsid w:val="12D537E4"/>
    <w:rsid w:val="130A6251"/>
    <w:rsid w:val="13477D19"/>
    <w:rsid w:val="136C7FD9"/>
    <w:rsid w:val="13703B2C"/>
    <w:rsid w:val="13756E39"/>
    <w:rsid w:val="13B7180D"/>
    <w:rsid w:val="13C67017"/>
    <w:rsid w:val="13DF2986"/>
    <w:rsid w:val="13E93015"/>
    <w:rsid w:val="13EF0E30"/>
    <w:rsid w:val="14375228"/>
    <w:rsid w:val="14D40EDF"/>
    <w:rsid w:val="14FE7D0A"/>
    <w:rsid w:val="15347CE9"/>
    <w:rsid w:val="153B0AA7"/>
    <w:rsid w:val="15734BF0"/>
    <w:rsid w:val="15F24C4D"/>
    <w:rsid w:val="15FD1BE1"/>
    <w:rsid w:val="162E54E6"/>
    <w:rsid w:val="166E3B36"/>
    <w:rsid w:val="16B20DAC"/>
    <w:rsid w:val="16E2194A"/>
    <w:rsid w:val="16E507BE"/>
    <w:rsid w:val="17582776"/>
    <w:rsid w:val="17674A34"/>
    <w:rsid w:val="17715E39"/>
    <w:rsid w:val="17BE35BD"/>
    <w:rsid w:val="17D631C0"/>
    <w:rsid w:val="18160B6A"/>
    <w:rsid w:val="182643EE"/>
    <w:rsid w:val="18467D57"/>
    <w:rsid w:val="18605CF1"/>
    <w:rsid w:val="18C749FA"/>
    <w:rsid w:val="19670D2B"/>
    <w:rsid w:val="19A215AC"/>
    <w:rsid w:val="19A50196"/>
    <w:rsid w:val="19C4225A"/>
    <w:rsid w:val="1A0173C2"/>
    <w:rsid w:val="1A334F6B"/>
    <w:rsid w:val="1A3561C0"/>
    <w:rsid w:val="1A5733C1"/>
    <w:rsid w:val="1A6C1892"/>
    <w:rsid w:val="1A750A6F"/>
    <w:rsid w:val="1AC27A2C"/>
    <w:rsid w:val="1AC541C0"/>
    <w:rsid w:val="1B1E0F9C"/>
    <w:rsid w:val="1B3A72B5"/>
    <w:rsid w:val="1B3E12F9"/>
    <w:rsid w:val="1B720B40"/>
    <w:rsid w:val="1B7C407F"/>
    <w:rsid w:val="1B901674"/>
    <w:rsid w:val="1C1D5257"/>
    <w:rsid w:val="1C2325FF"/>
    <w:rsid w:val="1C34700D"/>
    <w:rsid w:val="1C4C2BBF"/>
    <w:rsid w:val="1C5D785E"/>
    <w:rsid w:val="1C60574F"/>
    <w:rsid w:val="1CD549F2"/>
    <w:rsid w:val="1CE96326"/>
    <w:rsid w:val="1D5C2899"/>
    <w:rsid w:val="1D947F7B"/>
    <w:rsid w:val="1DAD34B7"/>
    <w:rsid w:val="1DB25B36"/>
    <w:rsid w:val="1DB7789E"/>
    <w:rsid w:val="1DE653AC"/>
    <w:rsid w:val="1DED3012"/>
    <w:rsid w:val="1E060E9F"/>
    <w:rsid w:val="1E3B39A8"/>
    <w:rsid w:val="1E676920"/>
    <w:rsid w:val="1E6A4663"/>
    <w:rsid w:val="1E9B0CC0"/>
    <w:rsid w:val="1EC32A42"/>
    <w:rsid w:val="1F143475"/>
    <w:rsid w:val="1F212F73"/>
    <w:rsid w:val="1F900D22"/>
    <w:rsid w:val="1F901EA7"/>
    <w:rsid w:val="201F7058"/>
    <w:rsid w:val="20580B22"/>
    <w:rsid w:val="20841359"/>
    <w:rsid w:val="20DC6135"/>
    <w:rsid w:val="20E00CF9"/>
    <w:rsid w:val="20E83E14"/>
    <w:rsid w:val="20FA78A2"/>
    <w:rsid w:val="212160C1"/>
    <w:rsid w:val="21911A7B"/>
    <w:rsid w:val="21A856B3"/>
    <w:rsid w:val="21EA4599"/>
    <w:rsid w:val="21EC12BA"/>
    <w:rsid w:val="21EC646C"/>
    <w:rsid w:val="220A1003"/>
    <w:rsid w:val="221708B5"/>
    <w:rsid w:val="223E050A"/>
    <w:rsid w:val="2241392C"/>
    <w:rsid w:val="22635CEE"/>
    <w:rsid w:val="22B26EF4"/>
    <w:rsid w:val="22B56F98"/>
    <w:rsid w:val="22B92C80"/>
    <w:rsid w:val="22C02AA3"/>
    <w:rsid w:val="22C4582A"/>
    <w:rsid w:val="22E36792"/>
    <w:rsid w:val="232F0422"/>
    <w:rsid w:val="233B037C"/>
    <w:rsid w:val="236F184E"/>
    <w:rsid w:val="23BF6084"/>
    <w:rsid w:val="23C80EDF"/>
    <w:rsid w:val="23F42A3B"/>
    <w:rsid w:val="23F91CEF"/>
    <w:rsid w:val="241D58EF"/>
    <w:rsid w:val="24397407"/>
    <w:rsid w:val="248A279D"/>
    <w:rsid w:val="24FA22E3"/>
    <w:rsid w:val="25001304"/>
    <w:rsid w:val="250D5954"/>
    <w:rsid w:val="252F5CBE"/>
    <w:rsid w:val="25535E50"/>
    <w:rsid w:val="25543490"/>
    <w:rsid w:val="257B4C0D"/>
    <w:rsid w:val="25916979"/>
    <w:rsid w:val="25956469"/>
    <w:rsid w:val="259F4932"/>
    <w:rsid w:val="25BA1A2C"/>
    <w:rsid w:val="25F52761"/>
    <w:rsid w:val="25F969F8"/>
    <w:rsid w:val="263E0D82"/>
    <w:rsid w:val="26A13C27"/>
    <w:rsid w:val="26D9160F"/>
    <w:rsid w:val="2701019D"/>
    <w:rsid w:val="270F317E"/>
    <w:rsid w:val="27364F8D"/>
    <w:rsid w:val="27441EF5"/>
    <w:rsid w:val="276C31F9"/>
    <w:rsid w:val="27770869"/>
    <w:rsid w:val="27891096"/>
    <w:rsid w:val="27894BE8"/>
    <w:rsid w:val="278A5992"/>
    <w:rsid w:val="27A10A28"/>
    <w:rsid w:val="27AD3320"/>
    <w:rsid w:val="27F622A0"/>
    <w:rsid w:val="27FE402A"/>
    <w:rsid w:val="282F3658"/>
    <w:rsid w:val="285E14BB"/>
    <w:rsid w:val="28762296"/>
    <w:rsid w:val="2888396C"/>
    <w:rsid w:val="28C0374E"/>
    <w:rsid w:val="28C655E7"/>
    <w:rsid w:val="28D5037B"/>
    <w:rsid w:val="2933719E"/>
    <w:rsid w:val="2984555A"/>
    <w:rsid w:val="29B53F5E"/>
    <w:rsid w:val="29FA4AED"/>
    <w:rsid w:val="2A034FA0"/>
    <w:rsid w:val="2A3C3357"/>
    <w:rsid w:val="2A44045E"/>
    <w:rsid w:val="2AB22B1B"/>
    <w:rsid w:val="2AD5418C"/>
    <w:rsid w:val="2AF10F5C"/>
    <w:rsid w:val="2AF5076C"/>
    <w:rsid w:val="2AF976EE"/>
    <w:rsid w:val="2AFA06CB"/>
    <w:rsid w:val="2B6F2C13"/>
    <w:rsid w:val="2B91322F"/>
    <w:rsid w:val="2B932C4A"/>
    <w:rsid w:val="2BC44204"/>
    <w:rsid w:val="2BC96DF7"/>
    <w:rsid w:val="2BCE7FDF"/>
    <w:rsid w:val="2BE245B1"/>
    <w:rsid w:val="2BFD29F4"/>
    <w:rsid w:val="2C247703"/>
    <w:rsid w:val="2C286950"/>
    <w:rsid w:val="2C473CC4"/>
    <w:rsid w:val="2C484235"/>
    <w:rsid w:val="2C680433"/>
    <w:rsid w:val="2C8E16D6"/>
    <w:rsid w:val="2CE1177D"/>
    <w:rsid w:val="2CE61358"/>
    <w:rsid w:val="2D53644D"/>
    <w:rsid w:val="2D7B76AC"/>
    <w:rsid w:val="2DD075B9"/>
    <w:rsid w:val="2DFE468E"/>
    <w:rsid w:val="2E3F5452"/>
    <w:rsid w:val="2E4C168F"/>
    <w:rsid w:val="2E50117F"/>
    <w:rsid w:val="2E6A4B59"/>
    <w:rsid w:val="2ECB6A58"/>
    <w:rsid w:val="2EDC6EB7"/>
    <w:rsid w:val="2EE753F6"/>
    <w:rsid w:val="2F2668FB"/>
    <w:rsid w:val="2F546A4D"/>
    <w:rsid w:val="2FA960BC"/>
    <w:rsid w:val="2FB018D9"/>
    <w:rsid w:val="2FBF1B51"/>
    <w:rsid w:val="2FC751AB"/>
    <w:rsid w:val="2FE74788"/>
    <w:rsid w:val="3008392B"/>
    <w:rsid w:val="3009405C"/>
    <w:rsid w:val="30204B81"/>
    <w:rsid w:val="30414799"/>
    <w:rsid w:val="3067493C"/>
    <w:rsid w:val="30692FA9"/>
    <w:rsid w:val="30717322"/>
    <w:rsid w:val="309A4933"/>
    <w:rsid w:val="30CB4551"/>
    <w:rsid w:val="30D319AB"/>
    <w:rsid w:val="30EE18CD"/>
    <w:rsid w:val="31466E58"/>
    <w:rsid w:val="315E4884"/>
    <w:rsid w:val="316579FD"/>
    <w:rsid w:val="31D720B3"/>
    <w:rsid w:val="31EA7C1D"/>
    <w:rsid w:val="320329AC"/>
    <w:rsid w:val="320C05E9"/>
    <w:rsid w:val="321D581C"/>
    <w:rsid w:val="32360A40"/>
    <w:rsid w:val="323D13D2"/>
    <w:rsid w:val="32547589"/>
    <w:rsid w:val="32597108"/>
    <w:rsid w:val="32B31E3D"/>
    <w:rsid w:val="331035D3"/>
    <w:rsid w:val="334C5A7B"/>
    <w:rsid w:val="33546868"/>
    <w:rsid w:val="335C0A37"/>
    <w:rsid w:val="339C0CF2"/>
    <w:rsid w:val="33DF5004"/>
    <w:rsid w:val="33E506AF"/>
    <w:rsid w:val="341158D5"/>
    <w:rsid w:val="345A1909"/>
    <w:rsid w:val="34720743"/>
    <w:rsid w:val="348A2F11"/>
    <w:rsid w:val="34AD0F5A"/>
    <w:rsid w:val="35074561"/>
    <w:rsid w:val="350E379D"/>
    <w:rsid w:val="352B64A2"/>
    <w:rsid w:val="35417989"/>
    <w:rsid w:val="35523A2F"/>
    <w:rsid w:val="35702FE0"/>
    <w:rsid w:val="357C5E0E"/>
    <w:rsid w:val="36637EBD"/>
    <w:rsid w:val="36A52284"/>
    <w:rsid w:val="36BA1FE3"/>
    <w:rsid w:val="36C925CC"/>
    <w:rsid w:val="37141E0A"/>
    <w:rsid w:val="37185980"/>
    <w:rsid w:val="37384C7C"/>
    <w:rsid w:val="377A726D"/>
    <w:rsid w:val="37B43A7A"/>
    <w:rsid w:val="37F4701F"/>
    <w:rsid w:val="37F97E78"/>
    <w:rsid w:val="37FE5F38"/>
    <w:rsid w:val="381C6B31"/>
    <w:rsid w:val="3840221A"/>
    <w:rsid w:val="38506524"/>
    <w:rsid w:val="386E5BC8"/>
    <w:rsid w:val="38DA5F2A"/>
    <w:rsid w:val="38DD3F7C"/>
    <w:rsid w:val="390B0AC4"/>
    <w:rsid w:val="392576AC"/>
    <w:rsid w:val="392F4420"/>
    <w:rsid w:val="39526AB8"/>
    <w:rsid w:val="39537572"/>
    <w:rsid w:val="398F48B6"/>
    <w:rsid w:val="39D23390"/>
    <w:rsid w:val="39E04BC6"/>
    <w:rsid w:val="3A022634"/>
    <w:rsid w:val="3A1C1BC8"/>
    <w:rsid w:val="3AD744D6"/>
    <w:rsid w:val="3AE27180"/>
    <w:rsid w:val="3AFE66F9"/>
    <w:rsid w:val="3B032FF0"/>
    <w:rsid w:val="3B283915"/>
    <w:rsid w:val="3B4A2153"/>
    <w:rsid w:val="3B801056"/>
    <w:rsid w:val="3B871F58"/>
    <w:rsid w:val="3B8775E7"/>
    <w:rsid w:val="3B9A1C8B"/>
    <w:rsid w:val="3BAB6214"/>
    <w:rsid w:val="3BD51590"/>
    <w:rsid w:val="3BDD5483"/>
    <w:rsid w:val="3BF36EF3"/>
    <w:rsid w:val="3BF56584"/>
    <w:rsid w:val="3BFF5AB9"/>
    <w:rsid w:val="3C2728B5"/>
    <w:rsid w:val="3C535683"/>
    <w:rsid w:val="3CCD7E3F"/>
    <w:rsid w:val="3CD157EA"/>
    <w:rsid w:val="3CE4023D"/>
    <w:rsid w:val="3CE9764C"/>
    <w:rsid w:val="3D25234D"/>
    <w:rsid w:val="3D2832C7"/>
    <w:rsid w:val="3DBC389D"/>
    <w:rsid w:val="3DE641E3"/>
    <w:rsid w:val="3DE96EFA"/>
    <w:rsid w:val="3E077380"/>
    <w:rsid w:val="3E1B2AA5"/>
    <w:rsid w:val="3E230B42"/>
    <w:rsid w:val="3E484953"/>
    <w:rsid w:val="3E630BEC"/>
    <w:rsid w:val="3E7B13E8"/>
    <w:rsid w:val="3E8E35FE"/>
    <w:rsid w:val="3EAE23E1"/>
    <w:rsid w:val="3EE7052F"/>
    <w:rsid w:val="3EEE36F5"/>
    <w:rsid w:val="3EF67BA2"/>
    <w:rsid w:val="3F15593F"/>
    <w:rsid w:val="3F22472C"/>
    <w:rsid w:val="3F3B796D"/>
    <w:rsid w:val="3F4E1CD7"/>
    <w:rsid w:val="3FA41B23"/>
    <w:rsid w:val="40104987"/>
    <w:rsid w:val="4080090B"/>
    <w:rsid w:val="408829FA"/>
    <w:rsid w:val="408D5C25"/>
    <w:rsid w:val="409E3FCC"/>
    <w:rsid w:val="40A4535A"/>
    <w:rsid w:val="40E323CB"/>
    <w:rsid w:val="40F47A33"/>
    <w:rsid w:val="41036525"/>
    <w:rsid w:val="4117188C"/>
    <w:rsid w:val="411B4A06"/>
    <w:rsid w:val="41AF3FB7"/>
    <w:rsid w:val="4206243B"/>
    <w:rsid w:val="425676D3"/>
    <w:rsid w:val="42EE474F"/>
    <w:rsid w:val="431736E3"/>
    <w:rsid w:val="43394CC3"/>
    <w:rsid w:val="433A3D54"/>
    <w:rsid w:val="433B1FA6"/>
    <w:rsid w:val="435E773E"/>
    <w:rsid w:val="43721740"/>
    <w:rsid w:val="43964FBB"/>
    <w:rsid w:val="439C1000"/>
    <w:rsid w:val="43AA0EDA"/>
    <w:rsid w:val="43C04259"/>
    <w:rsid w:val="441F1D5B"/>
    <w:rsid w:val="44337EA4"/>
    <w:rsid w:val="44653DF1"/>
    <w:rsid w:val="44792370"/>
    <w:rsid w:val="448A4586"/>
    <w:rsid w:val="449D63EC"/>
    <w:rsid w:val="44A15DD2"/>
    <w:rsid w:val="44A9188F"/>
    <w:rsid w:val="44B71B00"/>
    <w:rsid w:val="44BD5813"/>
    <w:rsid w:val="44D22496"/>
    <w:rsid w:val="44DC4156"/>
    <w:rsid w:val="44E4041B"/>
    <w:rsid w:val="44F360B4"/>
    <w:rsid w:val="45465FBE"/>
    <w:rsid w:val="45D4223E"/>
    <w:rsid w:val="45D73ADC"/>
    <w:rsid w:val="460A7401"/>
    <w:rsid w:val="461B5797"/>
    <w:rsid w:val="4634180D"/>
    <w:rsid w:val="466A51BB"/>
    <w:rsid w:val="46B14772"/>
    <w:rsid w:val="46C167DF"/>
    <w:rsid w:val="46CB52E1"/>
    <w:rsid w:val="46DC3AA0"/>
    <w:rsid w:val="46F30DEA"/>
    <w:rsid w:val="47246A79"/>
    <w:rsid w:val="47812B1E"/>
    <w:rsid w:val="479340E7"/>
    <w:rsid w:val="47B708E1"/>
    <w:rsid w:val="47BB5C3A"/>
    <w:rsid w:val="481E3C65"/>
    <w:rsid w:val="482C010F"/>
    <w:rsid w:val="482C2540"/>
    <w:rsid w:val="48383EE4"/>
    <w:rsid w:val="483A0C40"/>
    <w:rsid w:val="487D4829"/>
    <w:rsid w:val="48AE4FC8"/>
    <w:rsid w:val="48B03E86"/>
    <w:rsid w:val="48CE7547"/>
    <w:rsid w:val="48DA308F"/>
    <w:rsid w:val="48E120D3"/>
    <w:rsid w:val="48F90C7F"/>
    <w:rsid w:val="495B1440"/>
    <w:rsid w:val="49D62A28"/>
    <w:rsid w:val="4A00565B"/>
    <w:rsid w:val="4A653DAC"/>
    <w:rsid w:val="4AC54EC0"/>
    <w:rsid w:val="4AFA44F5"/>
    <w:rsid w:val="4B074E64"/>
    <w:rsid w:val="4B115DA6"/>
    <w:rsid w:val="4B2647D6"/>
    <w:rsid w:val="4B5D43C3"/>
    <w:rsid w:val="4B676410"/>
    <w:rsid w:val="4B785937"/>
    <w:rsid w:val="4B916A16"/>
    <w:rsid w:val="4BA668EA"/>
    <w:rsid w:val="4C1C049B"/>
    <w:rsid w:val="4C21022F"/>
    <w:rsid w:val="4C535B5C"/>
    <w:rsid w:val="4CB16E35"/>
    <w:rsid w:val="4CE57C6E"/>
    <w:rsid w:val="4CE865CF"/>
    <w:rsid w:val="4CED7449"/>
    <w:rsid w:val="4D0D2EE1"/>
    <w:rsid w:val="4D2B36AA"/>
    <w:rsid w:val="4DA674DF"/>
    <w:rsid w:val="4DF94F37"/>
    <w:rsid w:val="4E031912"/>
    <w:rsid w:val="4E0F475B"/>
    <w:rsid w:val="4E6D3230"/>
    <w:rsid w:val="4E796716"/>
    <w:rsid w:val="4E874011"/>
    <w:rsid w:val="4E913AB2"/>
    <w:rsid w:val="4E96639B"/>
    <w:rsid w:val="4EA37C34"/>
    <w:rsid w:val="4EEC3913"/>
    <w:rsid w:val="4F39249D"/>
    <w:rsid w:val="4F744F1B"/>
    <w:rsid w:val="4F9F0D43"/>
    <w:rsid w:val="4FA21BB6"/>
    <w:rsid w:val="4FD61FCD"/>
    <w:rsid w:val="4FF9129F"/>
    <w:rsid w:val="5018245D"/>
    <w:rsid w:val="503B1837"/>
    <w:rsid w:val="50521FB9"/>
    <w:rsid w:val="50526B81"/>
    <w:rsid w:val="50537CD5"/>
    <w:rsid w:val="50636F0D"/>
    <w:rsid w:val="50A02D8D"/>
    <w:rsid w:val="50A863CF"/>
    <w:rsid w:val="50CE219C"/>
    <w:rsid w:val="50F735FE"/>
    <w:rsid w:val="51937451"/>
    <w:rsid w:val="51AE2F2B"/>
    <w:rsid w:val="51BD5BC1"/>
    <w:rsid w:val="51F54E50"/>
    <w:rsid w:val="522A367D"/>
    <w:rsid w:val="525071E9"/>
    <w:rsid w:val="526773E6"/>
    <w:rsid w:val="52DA7B24"/>
    <w:rsid w:val="52F27F6F"/>
    <w:rsid w:val="52FE45C8"/>
    <w:rsid w:val="5310285D"/>
    <w:rsid w:val="531719BC"/>
    <w:rsid w:val="5322591F"/>
    <w:rsid w:val="533E60EA"/>
    <w:rsid w:val="534554F2"/>
    <w:rsid w:val="541859EC"/>
    <w:rsid w:val="54210A02"/>
    <w:rsid w:val="547A32DE"/>
    <w:rsid w:val="54E83DA9"/>
    <w:rsid w:val="54EB5115"/>
    <w:rsid w:val="54FE72D7"/>
    <w:rsid w:val="55124B31"/>
    <w:rsid w:val="551A6E19"/>
    <w:rsid w:val="55207DCA"/>
    <w:rsid w:val="556E73F9"/>
    <w:rsid w:val="55771A27"/>
    <w:rsid w:val="559972D8"/>
    <w:rsid w:val="55C0633B"/>
    <w:rsid w:val="55D40011"/>
    <w:rsid w:val="561D553B"/>
    <w:rsid w:val="56326079"/>
    <w:rsid w:val="56513F26"/>
    <w:rsid w:val="56864D1B"/>
    <w:rsid w:val="56A70F17"/>
    <w:rsid w:val="56B222A2"/>
    <w:rsid w:val="56C97471"/>
    <w:rsid w:val="56D73D0B"/>
    <w:rsid w:val="56E90A8A"/>
    <w:rsid w:val="56EC0D4A"/>
    <w:rsid w:val="56FF37F8"/>
    <w:rsid w:val="57061ACA"/>
    <w:rsid w:val="57324106"/>
    <w:rsid w:val="57733382"/>
    <w:rsid w:val="57757865"/>
    <w:rsid w:val="577C6367"/>
    <w:rsid w:val="579472A9"/>
    <w:rsid w:val="57AC41C6"/>
    <w:rsid w:val="57ED106E"/>
    <w:rsid w:val="580064B0"/>
    <w:rsid w:val="58337298"/>
    <w:rsid w:val="587B479B"/>
    <w:rsid w:val="58851AA7"/>
    <w:rsid w:val="58CC532E"/>
    <w:rsid w:val="595A217D"/>
    <w:rsid w:val="595E75F2"/>
    <w:rsid w:val="597638E0"/>
    <w:rsid w:val="59A33FA9"/>
    <w:rsid w:val="59BB112C"/>
    <w:rsid w:val="59C208D3"/>
    <w:rsid w:val="59C6636E"/>
    <w:rsid w:val="59C83829"/>
    <w:rsid w:val="59E91789"/>
    <w:rsid w:val="59EA6AE6"/>
    <w:rsid w:val="5A2275C4"/>
    <w:rsid w:val="5A5874BC"/>
    <w:rsid w:val="5A71258E"/>
    <w:rsid w:val="5AB6023B"/>
    <w:rsid w:val="5AEA7999"/>
    <w:rsid w:val="5AF02029"/>
    <w:rsid w:val="5B400BC9"/>
    <w:rsid w:val="5B6D0D13"/>
    <w:rsid w:val="5BE24966"/>
    <w:rsid w:val="5C14118E"/>
    <w:rsid w:val="5C235D5B"/>
    <w:rsid w:val="5C44135B"/>
    <w:rsid w:val="5C6254EA"/>
    <w:rsid w:val="5C63707B"/>
    <w:rsid w:val="5C64706B"/>
    <w:rsid w:val="5C6A12EC"/>
    <w:rsid w:val="5C71038F"/>
    <w:rsid w:val="5C971BC4"/>
    <w:rsid w:val="5CAF2C51"/>
    <w:rsid w:val="5CB62246"/>
    <w:rsid w:val="5CE57530"/>
    <w:rsid w:val="5CEE0AEA"/>
    <w:rsid w:val="5D1C1285"/>
    <w:rsid w:val="5D2E5E16"/>
    <w:rsid w:val="5D327F0B"/>
    <w:rsid w:val="5D5977A1"/>
    <w:rsid w:val="5D611472"/>
    <w:rsid w:val="5DA13666"/>
    <w:rsid w:val="5DD62B9F"/>
    <w:rsid w:val="5DDF68CC"/>
    <w:rsid w:val="5E040DBE"/>
    <w:rsid w:val="5E173F8D"/>
    <w:rsid w:val="5E495D8F"/>
    <w:rsid w:val="5EFD5F0A"/>
    <w:rsid w:val="5F102D75"/>
    <w:rsid w:val="5F333293"/>
    <w:rsid w:val="5F6366B5"/>
    <w:rsid w:val="5F6E11A7"/>
    <w:rsid w:val="5F7E34EF"/>
    <w:rsid w:val="5FCD224C"/>
    <w:rsid w:val="5FF246E2"/>
    <w:rsid w:val="60381C2A"/>
    <w:rsid w:val="60397872"/>
    <w:rsid w:val="605D27FF"/>
    <w:rsid w:val="606206C0"/>
    <w:rsid w:val="6062071A"/>
    <w:rsid w:val="60851A34"/>
    <w:rsid w:val="60876009"/>
    <w:rsid w:val="60A4206C"/>
    <w:rsid w:val="61021F69"/>
    <w:rsid w:val="615362B5"/>
    <w:rsid w:val="61572249"/>
    <w:rsid w:val="61B310B8"/>
    <w:rsid w:val="61BB4D83"/>
    <w:rsid w:val="61D33618"/>
    <w:rsid w:val="61FB2AF3"/>
    <w:rsid w:val="61FF537F"/>
    <w:rsid w:val="62324ACD"/>
    <w:rsid w:val="632E1F5B"/>
    <w:rsid w:val="635A03E8"/>
    <w:rsid w:val="63B75221"/>
    <w:rsid w:val="644840CB"/>
    <w:rsid w:val="645E4E80"/>
    <w:rsid w:val="64633478"/>
    <w:rsid w:val="647B5838"/>
    <w:rsid w:val="64AC465A"/>
    <w:rsid w:val="64DF2283"/>
    <w:rsid w:val="64EB6C5F"/>
    <w:rsid w:val="64F27CBC"/>
    <w:rsid w:val="64F63B27"/>
    <w:rsid w:val="650F30CA"/>
    <w:rsid w:val="65143FAD"/>
    <w:rsid w:val="65183A9D"/>
    <w:rsid w:val="655E4426"/>
    <w:rsid w:val="65901202"/>
    <w:rsid w:val="65F22540"/>
    <w:rsid w:val="65F242EE"/>
    <w:rsid w:val="66225C4B"/>
    <w:rsid w:val="66815D30"/>
    <w:rsid w:val="66D57BF6"/>
    <w:rsid w:val="66E076A5"/>
    <w:rsid w:val="66F3009E"/>
    <w:rsid w:val="670267B3"/>
    <w:rsid w:val="67087B42"/>
    <w:rsid w:val="67396EFC"/>
    <w:rsid w:val="67565566"/>
    <w:rsid w:val="67617ED3"/>
    <w:rsid w:val="67A84FD6"/>
    <w:rsid w:val="67C10A7D"/>
    <w:rsid w:val="67C8398F"/>
    <w:rsid w:val="67D96DDE"/>
    <w:rsid w:val="681661C3"/>
    <w:rsid w:val="68455C61"/>
    <w:rsid w:val="68614FFF"/>
    <w:rsid w:val="686A0AB4"/>
    <w:rsid w:val="687B49CF"/>
    <w:rsid w:val="689A6AB9"/>
    <w:rsid w:val="68A979F3"/>
    <w:rsid w:val="68C5120C"/>
    <w:rsid w:val="68F40A36"/>
    <w:rsid w:val="690425B7"/>
    <w:rsid w:val="691D4F52"/>
    <w:rsid w:val="692B295F"/>
    <w:rsid w:val="69BC750D"/>
    <w:rsid w:val="69F0169B"/>
    <w:rsid w:val="6A1C06D4"/>
    <w:rsid w:val="6A3550F2"/>
    <w:rsid w:val="6A464C09"/>
    <w:rsid w:val="6A4B221F"/>
    <w:rsid w:val="6ABA7508"/>
    <w:rsid w:val="6AE8417A"/>
    <w:rsid w:val="6B0F2632"/>
    <w:rsid w:val="6B247F4F"/>
    <w:rsid w:val="6B8F47B7"/>
    <w:rsid w:val="6BA306E0"/>
    <w:rsid w:val="6BA936A1"/>
    <w:rsid w:val="6C100954"/>
    <w:rsid w:val="6C342C71"/>
    <w:rsid w:val="6C7E223D"/>
    <w:rsid w:val="6C835E0D"/>
    <w:rsid w:val="6D003795"/>
    <w:rsid w:val="6D0533EB"/>
    <w:rsid w:val="6D0668D1"/>
    <w:rsid w:val="6D5C09E5"/>
    <w:rsid w:val="6D876552"/>
    <w:rsid w:val="6DB24AA3"/>
    <w:rsid w:val="6DB27DA3"/>
    <w:rsid w:val="6E3C0E29"/>
    <w:rsid w:val="6E4B78B6"/>
    <w:rsid w:val="6E647C5F"/>
    <w:rsid w:val="6E7846AC"/>
    <w:rsid w:val="6E8E4DD0"/>
    <w:rsid w:val="6EA62AEE"/>
    <w:rsid w:val="6ECE1671"/>
    <w:rsid w:val="6ED303BE"/>
    <w:rsid w:val="6F0155A2"/>
    <w:rsid w:val="6F622CD8"/>
    <w:rsid w:val="6FA04DBB"/>
    <w:rsid w:val="6FCC034E"/>
    <w:rsid w:val="70494790"/>
    <w:rsid w:val="7050732E"/>
    <w:rsid w:val="706E310B"/>
    <w:rsid w:val="708B7819"/>
    <w:rsid w:val="71193077"/>
    <w:rsid w:val="7141437C"/>
    <w:rsid w:val="715C3E80"/>
    <w:rsid w:val="715C7408"/>
    <w:rsid w:val="71E01DE7"/>
    <w:rsid w:val="71FA6A93"/>
    <w:rsid w:val="72764159"/>
    <w:rsid w:val="72821001"/>
    <w:rsid w:val="728E5E36"/>
    <w:rsid w:val="72A70FB2"/>
    <w:rsid w:val="72C97B6E"/>
    <w:rsid w:val="72E565C0"/>
    <w:rsid w:val="73046B11"/>
    <w:rsid w:val="7358514C"/>
    <w:rsid w:val="73840318"/>
    <w:rsid w:val="73DC0D56"/>
    <w:rsid w:val="742E6DC8"/>
    <w:rsid w:val="744A1DC0"/>
    <w:rsid w:val="744C72C0"/>
    <w:rsid w:val="74A40EAA"/>
    <w:rsid w:val="74CE3CD7"/>
    <w:rsid w:val="74D45AA2"/>
    <w:rsid w:val="75055A94"/>
    <w:rsid w:val="756248C1"/>
    <w:rsid w:val="756D1BE3"/>
    <w:rsid w:val="758016CA"/>
    <w:rsid w:val="75970BB2"/>
    <w:rsid w:val="75EB5FE6"/>
    <w:rsid w:val="75F1096B"/>
    <w:rsid w:val="75F12DE5"/>
    <w:rsid w:val="75F91D60"/>
    <w:rsid w:val="761107C1"/>
    <w:rsid w:val="76296A7F"/>
    <w:rsid w:val="763741CA"/>
    <w:rsid w:val="766E5C13"/>
    <w:rsid w:val="76F13CB5"/>
    <w:rsid w:val="773C6432"/>
    <w:rsid w:val="77405D1A"/>
    <w:rsid w:val="774F0B47"/>
    <w:rsid w:val="77651188"/>
    <w:rsid w:val="777B0CFF"/>
    <w:rsid w:val="77A967D7"/>
    <w:rsid w:val="7816469F"/>
    <w:rsid w:val="781D5A68"/>
    <w:rsid w:val="783367C7"/>
    <w:rsid w:val="787B684F"/>
    <w:rsid w:val="78D74399"/>
    <w:rsid w:val="78E03652"/>
    <w:rsid w:val="790D494E"/>
    <w:rsid w:val="79294B94"/>
    <w:rsid w:val="793B325C"/>
    <w:rsid w:val="79584C6F"/>
    <w:rsid w:val="79FC317E"/>
    <w:rsid w:val="7A080935"/>
    <w:rsid w:val="7A107860"/>
    <w:rsid w:val="7A122D59"/>
    <w:rsid w:val="7A4B5428"/>
    <w:rsid w:val="7AEA7BCE"/>
    <w:rsid w:val="7B662060"/>
    <w:rsid w:val="7B6E3FBF"/>
    <w:rsid w:val="7B870C11"/>
    <w:rsid w:val="7BCD054D"/>
    <w:rsid w:val="7BE6705F"/>
    <w:rsid w:val="7C181BD3"/>
    <w:rsid w:val="7C41304D"/>
    <w:rsid w:val="7CC55320"/>
    <w:rsid w:val="7CDB3074"/>
    <w:rsid w:val="7CE24789"/>
    <w:rsid w:val="7D4B15C0"/>
    <w:rsid w:val="7DA77C5D"/>
    <w:rsid w:val="7DCC7AD0"/>
    <w:rsid w:val="7DE27F29"/>
    <w:rsid w:val="7DE71EDA"/>
    <w:rsid w:val="7DEC1EE1"/>
    <w:rsid w:val="7E024045"/>
    <w:rsid w:val="7E7E64D7"/>
    <w:rsid w:val="7E834226"/>
    <w:rsid w:val="7EB904CD"/>
    <w:rsid w:val="7ECF1219"/>
    <w:rsid w:val="7EE938A4"/>
    <w:rsid w:val="7EEB5927"/>
    <w:rsid w:val="7F401299"/>
    <w:rsid w:val="7F547970"/>
    <w:rsid w:val="7F631961"/>
    <w:rsid w:val="7F6C2F0C"/>
    <w:rsid w:val="7FE24D68"/>
    <w:rsid w:val="7FE934FA"/>
    <w:rsid w:val="7FF943C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link w:val="38"/>
    <w:autoRedefine/>
    <w:qFormat/>
    <w:uiPriority w:val="9"/>
    <w:pPr>
      <w:keepNext/>
      <w:keepLines/>
      <w:jc w:val="center"/>
      <w:outlineLvl w:val="0"/>
    </w:pPr>
    <w:rPr>
      <w:b/>
      <w:bCs/>
      <w:kern w:val="44"/>
      <w:sz w:val="36"/>
      <w:szCs w:val="44"/>
    </w:rPr>
  </w:style>
  <w:style w:type="paragraph" w:styleId="3">
    <w:name w:val="heading 2"/>
    <w:basedOn w:val="1"/>
    <w:next w:val="1"/>
    <w:link w:val="39"/>
    <w:autoRedefine/>
    <w:qFormat/>
    <w:uiPriority w:val="9"/>
    <w:pPr>
      <w:keepNext/>
      <w:keepLines/>
      <w:ind w:firstLine="0" w:firstLineChars="0"/>
      <w:jc w:val="left"/>
      <w:outlineLvl w:val="1"/>
    </w:pPr>
    <w:rPr>
      <w:rFonts w:ascii="Cambria" w:hAnsi="Cambria"/>
      <w:b/>
      <w:bCs/>
      <w:kern w:val="0"/>
      <w:sz w:val="30"/>
      <w:szCs w:val="32"/>
    </w:rPr>
  </w:style>
  <w:style w:type="paragraph" w:styleId="4">
    <w:name w:val="heading 3"/>
    <w:basedOn w:val="1"/>
    <w:next w:val="1"/>
    <w:link w:val="40"/>
    <w:autoRedefine/>
    <w:qFormat/>
    <w:uiPriority w:val="0"/>
    <w:pPr>
      <w:keepNext/>
      <w:keepLines/>
      <w:spacing w:before="260" w:after="260" w:line="416" w:lineRule="atLeast"/>
      <w:jc w:val="left"/>
      <w:outlineLvl w:val="2"/>
    </w:pPr>
    <w:rPr>
      <w:b/>
      <w:bCs/>
      <w:sz w:val="32"/>
      <w:szCs w:val="32"/>
    </w:rPr>
  </w:style>
  <w:style w:type="paragraph" w:styleId="5">
    <w:name w:val="heading 4"/>
    <w:basedOn w:val="1"/>
    <w:next w:val="1"/>
    <w:link w:val="41"/>
    <w:autoRedefine/>
    <w:qFormat/>
    <w:uiPriority w:val="99"/>
    <w:pPr>
      <w:keepNext/>
      <w:keepLines/>
      <w:spacing w:before="280" w:after="290" w:line="376" w:lineRule="auto"/>
      <w:jc w:val="left"/>
      <w:outlineLvl w:val="3"/>
    </w:pPr>
    <w:rPr>
      <w:rFonts w:ascii="Cambria" w:hAnsi="Cambria"/>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style>
  <w:style w:type="paragraph" w:styleId="7">
    <w:name w:val="caption"/>
    <w:basedOn w:val="1"/>
    <w:next w:val="1"/>
    <w:autoRedefine/>
    <w:qFormat/>
    <w:uiPriority w:val="0"/>
    <w:pPr>
      <w:spacing w:before="152" w:after="160"/>
    </w:pPr>
    <w:rPr>
      <w:rFonts w:ascii="Arial" w:hAnsi="Arial" w:eastAsia="黑体" w:cs="Arial"/>
      <w:sz w:val="20"/>
    </w:rPr>
  </w:style>
  <w:style w:type="paragraph" w:styleId="8">
    <w:name w:val="toa heading"/>
    <w:basedOn w:val="1"/>
    <w:next w:val="1"/>
    <w:autoRedefine/>
    <w:qFormat/>
    <w:uiPriority w:val="0"/>
    <w:pPr>
      <w:spacing w:before="120"/>
      <w:ind w:firstLine="1572"/>
    </w:pPr>
    <w:rPr>
      <w:rFonts w:ascii="Arial" w:hAnsi="Arial"/>
    </w:rPr>
  </w:style>
  <w:style w:type="paragraph" w:styleId="9">
    <w:name w:val="annotation text"/>
    <w:basedOn w:val="1"/>
    <w:link w:val="42"/>
    <w:autoRedefine/>
    <w:unhideWhenUsed/>
    <w:qFormat/>
    <w:uiPriority w:val="99"/>
    <w:pPr>
      <w:jc w:val="left"/>
    </w:pPr>
    <w:rPr>
      <w:rFonts w:eastAsia="宋体"/>
      <w:sz w:val="21"/>
    </w:rPr>
  </w:style>
  <w:style w:type="paragraph" w:styleId="10">
    <w:name w:val="Body Text 3"/>
    <w:basedOn w:val="1"/>
    <w:link w:val="43"/>
    <w:autoRedefine/>
    <w:qFormat/>
    <w:uiPriority w:val="99"/>
    <w:pPr>
      <w:spacing w:after="120"/>
    </w:pPr>
    <w:rPr>
      <w:rFonts w:eastAsia="宋体"/>
      <w:kern w:val="0"/>
      <w:sz w:val="16"/>
      <w:szCs w:val="16"/>
    </w:rPr>
  </w:style>
  <w:style w:type="paragraph" w:styleId="11">
    <w:name w:val="Body Text"/>
    <w:basedOn w:val="1"/>
    <w:next w:val="1"/>
    <w:link w:val="44"/>
    <w:autoRedefine/>
    <w:unhideWhenUsed/>
    <w:qFormat/>
    <w:uiPriority w:val="99"/>
    <w:pPr>
      <w:spacing w:after="120"/>
    </w:pPr>
    <w:rPr>
      <w:rFonts w:eastAsia="宋体"/>
      <w:sz w:val="21"/>
      <w:szCs w:val="24"/>
    </w:rPr>
  </w:style>
  <w:style w:type="paragraph" w:styleId="12">
    <w:name w:val="Body Text Indent"/>
    <w:basedOn w:val="1"/>
    <w:link w:val="45"/>
    <w:autoRedefine/>
    <w:unhideWhenUsed/>
    <w:qFormat/>
    <w:uiPriority w:val="0"/>
    <w:pPr>
      <w:spacing w:after="120"/>
      <w:ind w:left="420" w:leftChars="200"/>
    </w:pPr>
    <w:rPr>
      <w:rFonts w:eastAsia="宋体"/>
      <w:sz w:val="21"/>
    </w:rPr>
  </w:style>
  <w:style w:type="paragraph" w:styleId="13">
    <w:name w:val="Plain Text"/>
    <w:basedOn w:val="1"/>
    <w:link w:val="46"/>
    <w:autoRedefine/>
    <w:qFormat/>
    <w:uiPriority w:val="99"/>
    <w:rPr>
      <w:rFonts w:ascii="宋体" w:hAnsi="Courier New" w:eastAsia="宋体"/>
      <w:kern w:val="0"/>
      <w:sz w:val="20"/>
    </w:rPr>
  </w:style>
  <w:style w:type="paragraph" w:styleId="14">
    <w:name w:val="Date"/>
    <w:basedOn w:val="1"/>
    <w:next w:val="1"/>
    <w:link w:val="47"/>
    <w:autoRedefine/>
    <w:unhideWhenUsed/>
    <w:qFormat/>
    <w:uiPriority w:val="99"/>
    <w:pPr>
      <w:ind w:left="100" w:leftChars="2500"/>
    </w:pPr>
    <w:rPr>
      <w:rFonts w:eastAsia="宋体"/>
      <w:kern w:val="0"/>
      <w:sz w:val="20"/>
    </w:rPr>
  </w:style>
  <w:style w:type="paragraph" w:styleId="15">
    <w:name w:val="Body Text Indent 2"/>
    <w:basedOn w:val="1"/>
    <w:link w:val="48"/>
    <w:autoRedefine/>
    <w:qFormat/>
    <w:uiPriority w:val="0"/>
    <w:pPr>
      <w:spacing w:line="240" w:lineRule="auto"/>
      <w:ind w:firstLine="480" w:firstLineChars="0"/>
    </w:pPr>
    <w:rPr>
      <w:rFonts w:ascii="宋体" w:hAnsi="宋体" w:eastAsia="宋体"/>
      <w:szCs w:val="24"/>
    </w:rPr>
  </w:style>
  <w:style w:type="paragraph" w:styleId="16">
    <w:name w:val="Balloon Text"/>
    <w:basedOn w:val="1"/>
    <w:link w:val="49"/>
    <w:autoRedefine/>
    <w:unhideWhenUsed/>
    <w:qFormat/>
    <w:uiPriority w:val="99"/>
    <w:rPr>
      <w:rFonts w:eastAsia="宋体"/>
      <w:sz w:val="18"/>
      <w:szCs w:val="18"/>
    </w:rPr>
  </w:style>
  <w:style w:type="paragraph" w:styleId="17">
    <w:name w:val="footer"/>
    <w:basedOn w:val="1"/>
    <w:link w:val="50"/>
    <w:autoRedefine/>
    <w:unhideWhenUsed/>
    <w:qFormat/>
    <w:uiPriority w:val="99"/>
    <w:pPr>
      <w:tabs>
        <w:tab w:val="center" w:pos="4153"/>
        <w:tab w:val="right" w:pos="8306"/>
      </w:tabs>
      <w:snapToGrid w:val="0"/>
      <w:jc w:val="left"/>
    </w:pPr>
    <w:rPr>
      <w:rFonts w:eastAsia="宋体"/>
      <w:kern w:val="0"/>
      <w:sz w:val="18"/>
      <w:szCs w:val="18"/>
    </w:rPr>
  </w:style>
  <w:style w:type="paragraph" w:styleId="18">
    <w:name w:val="header"/>
    <w:basedOn w:val="1"/>
    <w:link w:val="51"/>
    <w:autoRedefine/>
    <w:qFormat/>
    <w:uiPriority w:val="99"/>
    <w:pPr>
      <w:pBdr>
        <w:bottom w:val="single" w:color="auto" w:sz="6" w:space="0"/>
      </w:pBdr>
      <w:tabs>
        <w:tab w:val="center" w:pos="4153"/>
        <w:tab w:val="right" w:pos="8610"/>
      </w:tabs>
      <w:snapToGrid w:val="0"/>
      <w:ind w:right="-390"/>
    </w:pPr>
    <w:rPr>
      <w:rFonts w:eastAsia="宋体"/>
      <w:kern w:val="0"/>
      <w:sz w:val="20"/>
    </w:rPr>
  </w:style>
  <w:style w:type="paragraph" w:styleId="19">
    <w:name w:val="toc 1"/>
    <w:basedOn w:val="1"/>
    <w:next w:val="1"/>
    <w:autoRedefine/>
    <w:unhideWhenUsed/>
    <w:qFormat/>
    <w:uiPriority w:val="39"/>
  </w:style>
  <w:style w:type="paragraph" w:styleId="20">
    <w:name w:val="Body Text Indent 3"/>
    <w:basedOn w:val="1"/>
    <w:link w:val="53"/>
    <w:autoRedefine/>
    <w:unhideWhenUsed/>
    <w:qFormat/>
    <w:uiPriority w:val="99"/>
    <w:pPr>
      <w:spacing w:after="120"/>
      <w:ind w:left="420" w:leftChars="200"/>
      <w:jc w:val="left"/>
    </w:pPr>
    <w:rPr>
      <w:rFonts w:eastAsia="宋体"/>
      <w:sz w:val="16"/>
      <w:szCs w:val="16"/>
    </w:rPr>
  </w:style>
  <w:style w:type="paragraph" w:styleId="21">
    <w:name w:val="toc 2"/>
    <w:basedOn w:val="1"/>
    <w:next w:val="1"/>
    <w:autoRedefine/>
    <w:unhideWhenUsed/>
    <w:qFormat/>
    <w:uiPriority w:val="39"/>
    <w:pPr>
      <w:ind w:left="420" w:leftChars="200"/>
    </w:pPr>
  </w:style>
  <w:style w:type="paragraph" w:styleId="22">
    <w:name w:val="HTML Preformatted"/>
    <w:basedOn w:val="1"/>
    <w:link w:val="5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Cs w:val="24"/>
    </w:rPr>
  </w:style>
  <w:style w:type="paragraph" w:styleId="24">
    <w:name w:val="Title"/>
    <w:basedOn w:val="1"/>
    <w:next w:val="1"/>
    <w:link w:val="56"/>
    <w:autoRedefine/>
    <w:qFormat/>
    <w:uiPriority w:val="0"/>
    <w:pPr>
      <w:spacing w:before="240" w:after="60"/>
      <w:jc w:val="center"/>
      <w:outlineLvl w:val="0"/>
    </w:pPr>
    <w:rPr>
      <w:rFonts w:ascii="Cambria" w:hAnsi="Cambria" w:eastAsia="宋体"/>
      <w:b/>
      <w:bCs/>
      <w:sz w:val="32"/>
      <w:szCs w:val="32"/>
    </w:rPr>
  </w:style>
  <w:style w:type="paragraph" w:styleId="25">
    <w:name w:val="annotation subject"/>
    <w:basedOn w:val="9"/>
    <w:next w:val="9"/>
    <w:link w:val="57"/>
    <w:autoRedefine/>
    <w:unhideWhenUsed/>
    <w:qFormat/>
    <w:uiPriority w:val="99"/>
    <w:rPr>
      <w:b/>
      <w:bCs/>
    </w:rPr>
  </w:style>
  <w:style w:type="paragraph" w:styleId="26">
    <w:name w:val="Body Text First Indent"/>
    <w:basedOn w:val="11"/>
    <w:autoRedefine/>
    <w:qFormat/>
    <w:uiPriority w:val="0"/>
    <w:pPr>
      <w:ind w:firstLine="420" w:firstLineChars="100"/>
    </w:pPr>
  </w:style>
  <w:style w:type="paragraph" w:styleId="27">
    <w:name w:val="Body Text First Indent 2"/>
    <w:basedOn w:val="12"/>
    <w:link w:val="174"/>
    <w:autoRedefine/>
    <w:unhideWhenUsed/>
    <w:qFormat/>
    <w:uiPriority w:val="0"/>
    <w:pPr>
      <w:ind w:firstLine="420"/>
    </w:pPr>
    <w:rPr>
      <w:rFonts w:eastAsia="仿宋"/>
      <w:sz w:val="24"/>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99"/>
    <w:rPr>
      <w:rFonts w:cs="Times New Roman"/>
      <w:b/>
    </w:rPr>
  </w:style>
  <w:style w:type="character" w:styleId="32">
    <w:name w:val="page number"/>
    <w:basedOn w:val="30"/>
    <w:autoRedefine/>
    <w:qFormat/>
    <w:uiPriority w:val="0"/>
    <w:rPr>
      <w:rFonts w:cs="Times New Roman"/>
    </w:rPr>
  </w:style>
  <w:style w:type="character" w:styleId="33">
    <w:name w:val="FollowedHyperlink"/>
    <w:autoRedefine/>
    <w:semiHidden/>
    <w:qFormat/>
    <w:uiPriority w:val="99"/>
    <w:rPr>
      <w:rFonts w:cs="Times New Roman"/>
      <w:color w:val="954F72"/>
      <w:u w:val="single"/>
    </w:rPr>
  </w:style>
  <w:style w:type="character" w:styleId="34">
    <w:name w:val="Emphasis"/>
    <w:autoRedefine/>
    <w:qFormat/>
    <w:uiPriority w:val="99"/>
    <w:rPr>
      <w:rFonts w:cs="Times New Roman"/>
      <w:i/>
    </w:rPr>
  </w:style>
  <w:style w:type="character" w:styleId="35">
    <w:name w:val="Hyperlink"/>
    <w:autoRedefine/>
    <w:unhideWhenUsed/>
    <w:qFormat/>
    <w:uiPriority w:val="99"/>
    <w:rPr>
      <w:color w:val="0000FF"/>
      <w:u w:val="none"/>
    </w:rPr>
  </w:style>
  <w:style w:type="character" w:styleId="36">
    <w:name w:val="annotation reference"/>
    <w:autoRedefine/>
    <w:unhideWhenUsed/>
    <w:qFormat/>
    <w:uiPriority w:val="99"/>
    <w:rPr>
      <w:sz w:val="21"/>
      <w:szCs w:val="21"/>
    </w:rPr>
  </w:style>
  <w:style w:type="character" w:styleId="37">
    <w:name w:val="footnote reference"/>
    <w:autoRedefine/>
    <w:semiHidden/>
    <w:qFormat/>
    <w:uiPriority w:val="0"/>
    <w:rPr>
      <w:vertAlign w:val="superscript"/>
    </w:rPr>
  </w:style>
  <w:style w:type="character" w:customStyle="1" w:styleId="38">
    <w:name w:val="标题 1 Char"/>
    <w:link w:val="2"/>
    <w:autoRedefine/>
    <w:qFormat/>
    <w:locked/>
    <w:uiPriority w:val="9"/>
    <w:rPr>
      <w:rFonts w:ascii="Times New Roman" w:hAnsi="Times New Roman" w:eastAsia="仿宋"/>
      <w:b/>
      <w:bCs/>
      <w:kern w:val="44"/>
      <w:sz w:val="36"/>
      <w:szCs w:val="44"/>
    </w:rPr>
  </w:style>
  <w:style w:type="character" w:customStyle="1" w:styleId="39">
    <w:name w:val="标题 2 Char"/>
    <w:link w:val="3"/>
    <w:autoRedefine/>
    <w:qFormat/>
    <w:locked/>
    <w:uiPriority w:val="9"/>
    <w:rPr>
      <w:rFonts w:ascii="Cambria" w:hAnsi="Cambria" w:eastAsia="仿宋"/>
      <w:b/>
      <w:bCs/>
      <w:sz w:val="30"/>
      <w:szCs w:val="32"/>
    </w:rPr>
  </w:style>
  <w:style w:type="character" w:customStyle="1" w:styleId="40">
    <w:name w:val="标题 3 Char"/>
    <w:link w:val="4"/>
    <w:autoRedefine/>
    <w:qFormat/>
    <w:uiPriority w:val="0"/>
    <w:rPr>
      <w:rFonts w:eastAsia="仿宋"/>
      <w:b/>
      <w:bCs/>
      <w:kern w:val="2"/>
      <w:sz w:val="32"/>
      <w:szCs w:val="32"/>
    </w:rPr>
  </w:style>
  <w:style w:type="character" w:customStyle="1" w:styleId="41">
    <w:name w:val="标题 4 Char"/>
    <w:link w:val="5"/>
    <w:autoRedefine/>
    <w:qFormat/>
    <w:uiPriority w:val="99"/>
    <w:rPr>
      <w:rFonts w:ascii="Cambria" w:hAnsi="Cambria" w:eastAsia="仿宋" w:cs="Cambria"/>
      <w:b/>
      <w:bCs/>
      <w:kern w:val="2"/>
      <w:sz w:val="28"/>
      <w:szCs w:val="28"/>
    </w:rPr>
  </w:style>
  <w:style w:type="character" w:customStyle="1" w:styleId="42">
    <w:name w:val="批注文字 Char"/>
    <w:link w:val="9"/>
    <w:autoRedefine/>
    <w:semiHidden/>
    <w:qFormat/>
    <w:uiPriority w:val="99"/>
    <w:rPr>
      <w:rFonts w:ascii="Times New Roman" w:hAnsi="Times New Roman"/>
      <w:kern w:val="2"/>
      <w:sz w:val="21"/>
    </w:rPr>
  </w:style>
  <w:style w:type="character" w:customStyle="1" w:styleId="43">
    <w:name w:val="正文文本 3 Char"/>
    <w:link w:val="10"/>
    <w:autoRedefine/>
    <w:qFormat/>
    <w:locked/>
    <w:uiPriority w:val="99"/>
    <w:rPr>
      <w:rFonts w:ascii="Times New Roman" w:hAnsi="Times New Roman" w:eastAsia="宋体" w:cs="Times New Roman"/>
      <w:sz w:val="16"/>
      <w:szCs w:val="16"/>
    </w:rPr>
  </w:style>
  <w:style w:type="character" w:customStyle="1" w:styleId="44">
    <w:name w:val="正文文本 Char"/>
    <w:link w:val="11"/>
    <w:autoRedefine/>
    <w:qFormat/>
    <w:uiPriority w:val="99"/>
    <w:rPr>
      <w:rFonts w:ascii="Times New Roman" w:hAnsi="Times New Roman"/>
      <w:kern w:val="2"/>
      <w:sz w:val="21"/>
      <w:szCs w:val="24"/>
    </w:rPr>
  </w:style>
  <w:style w:type="character" w:customStyle="1" w:styleId="45">
    <w:name w:val="正文文本缩进 Char"/>
    <w:link w:val="12"/>
    <w:autoRedefine/>
    <w:qFormat/>
    <w:uiPriority w:val="99"/>
    <w:rPr>
      <w:rFonts w:ascii="Times New Roman" w:hAnsi="Times New Roman"/>
      <w:kern w:val="2"/>
      <w:sz w:val="21"/>
    </w:rPr>
  </w:style>
  <w:style w:type="character" w:customStyle="1" w:styleId="46">
    <w:name w:val="纯文本 Char1"/>
    <w:link w:val="13"/>
    <w:autoRedefine/>
    <w:qFormat/>
    <w:locked/>
    <w:uiPriority w:val="0"/>
    <w:rPr>
      <w:rFonts w:ascii="宋体" w:hAnsi="Courier New" w:eastAsia="宋体"/>
      <w:sz w:val="20"/>
    </w:rPr>
  </w:style>
  <w:style w:type="character" w:customStyle="1" w:styleId="47">
    <w:name w:val="日期 Char"/>
    <w:link w:val="14"/>
    <w:autoRedefine/>
    <w:semiHidden/>
    <w:qFormat/>
    <w:locked/>
    <w:uiPriority w:val="99"/>
    <w:rPr>
      <w:rFonts w:ascii="Times New Roman" w:hAnsi="Times New Roman" w:eastAsia="宋体" w:cs="Times New Roman"/>
      <w:sz w:val="20"/>
      <w:szCs w:val="20"/>
    </w:rPr>
  </w:style>
  <w:style w:type="character" w:customStyle="1" w:styleId="48">
    <w:name w:val="正文文本缩进 2 Char2"/>
    <w:link w:val="15"/>
    <w:autoRedefine/>
    <w:qFormat/>
    <w:uiPriority w:val="0"/>
    <w:rPr>
      <w:rFonts w:ascii="宋体" w:hAnsi="宋体"/>
      <w:kern w:val="2"/>
      <w:sz w:val="24"/>
      <w:szCs w:val="24"/>
    </w:rPr>
  </w:style>
  <w:style w:type="character" w:customStyle="1" w:styleId="49">
    <w:name w:val="批注框文本 Char"/>
    <w:link w:val="16"/>
    <w:autoRedefine/>
    <w:semiHidden/>
    <w:qFormat/>
    <w:uiPriority w:val="99"/>
    <w:rPr>
      <w:rFonts w:ascii="Times New Roman" w:hAnsi="Times New Roman"/>
      <w:kern w:val="2"/>
      <w:sz w:val="18"/>
      <w:szCs w:val="18"/>
    </w:rPr>
  </w:style>
  <w:style w:type="character" w:customStyle="1" w:styleId="50">
    <w:name w:val="页脚 Char"/>
    <w:link w:val="17"/>
    <w:autoRedefine/>
    <w:qFormat/>
    <w:locked/>
    <w:uiPriority w:val="99"/>
    <w:rPr>
      <w:rFonts w:ascii="Times New Roman" w:hAnsi="Times New Roman" w:eastAsia="宋体" w:cs="Times New Roman"/>
      <w:sz w:val="18"/>
      <w:szCs w:val="18"/>
    </w:rPr>
  </w:style>
  <w:style w:type="character" w:customStyle="1" w:styleId="51">
    <w:name w:val="页眉 Char"/>
    <w:link w:val="18"/>
    <w:autoRedefine/>
    <w:qFormat/>
    <w:locked/>
    <w:uiPriority w:val="99"/>
    <w:rPr>
      <w:rFonts w:ascii="Times New Roman" w:hAnsi="Times New Roman" w:eastAsia="宋体" w:cs="Times New Roman"/>
      <w:sz w:val="20"/>
      <w:szCs w:val="20"/>
    </w:rPr>
  </w:style>
  <w:style w:type="paragraph" w:customStyle="1" w:styleId="52">
    <w:name w:val="目录 11"/>
    <w:basedOn w:val="1"/>
    <w:next w:val="1"/>
    <w:autoRedefine/>
    <w:unhideWhenUsed/>
    <w:qFormat/>
    <w:uiPriority w:val="39"/>
  </w:style>
  <w:style w:type="character" w:customStyle="1" w:styleId="53">
    <w:name w:val="正文文本缩进 3 Char1"/>
    <w:link w:val="20"/>
    <w:autoRedefine/>
    <w:qFormat/>
    <w:uiPriority w:val="99"/>
    <w:rPr>
      <w:rFonts w:ascii="Times New Roman" w:hAnsi="Times New Roman"/>
      <w:kern w:val="2"/>
      <w:sz w:val="16"/>
      <w:szCs w:val="16"/>
    </w:rPr>
  </w:style>
  <w:style w:type="paragraph" w:customStyle="1" w:styleId="54">
    <w:name w:val="目录 21"/>
    <w:basedOn w:val="1"/>
    <w:next w:val="1"/>
    <w:autoRedefine/>
    <w:unhideWhenUsed/>
    <w:qFormat/>
    <w:uiPriority w:val="39"/>
    <w:pPr>
      <w:ind w:left="420" w:leftChars="200"/>
    </w:pPr>
  </w:style>
  <w:style w:type="character" w:customStyle="1" w:styleId="55">
    <w:name w:val="HTML 预设格式 Char1"/>
    <w:link w:val="22"/>
    <w:autoRedefine/>
    <w:qFormat/>
    <w:uiPriority w:val="0"/>
    <w:rPr>
      <w:rFonts w:ascii="宋体" w:hAnsi="宋体" w:cs="宋体"/>
      <w:sz w:val="24"/>
      <w:szCs w:val="24"/>
    </w:rPr>
  </w:style>
  <w:style w:type="character" w:customStyle="1" w:styleId="56">
    <w:name w:val="标题 Char"/>
    <w:link w:val="24"/>
    <w:autoRedefine/>
    <w:qFormat/>
    <w:uiPriority w:val="0"/>
    <w:rPr>
      <w:rFonts w:ascii="Cambria" w:hAnsi="Cambria"/>
      <w:b/>
      <w:bCs/>
      <w:kern w:val="2"/>
      <w:sz w:val="32"/>
      <w:szCs w:val="32"/>
    </w:rPr>
  </w:style>
  <w:style w:type="character" w:customStyle="1" w:styleId="57">
    <w:name w:val="批注主题 Char"/>
    <w:link w:val="25"/>
    <w:autoRedefine/>
    <w:semiHidden/>
    <w:qFormat/>
    <w:uiPriority w:val="99"/>
    <w:rPr>
      <w:rFonts w:ascii="Times New Roman" w:hAnsi="Times New Roman"/>
      <w:b/>
      <w:bCs/>
      <w:kern w:val="2"/>
      <w:sz w:val="21"/>
    </w:rPr>
  </w:style>
  <w:style w:type="paragraph" w:customStyle="1" w:styleId="58">
    <w:name w:val="正文首行缩进 21"/>
    <w:basedOn w:val="12"/>
    <w:link w:val="59"/>
    <w:autoRedefine/>
    <w:unhideWhenUsed/>
    <w:qFormat/>
    <w:uiPriority w:val="99"/>
    <w:pPr>
      <w:spacing w:line="240" w:lineRule="auto"/>
      <w:ind w:firstLine="420"/>
    </w:pPr>
    <w:rPr>
      <w:szCs w:val="24"/>
    </w:rPr>
  </w:style>
  <w:style w:type="character" w:customStyle="1" w:styleId="59">
    <w:name w:val="正文首行缩进 2 字符"/>
    <w:link w:val="58"/>
    <w:autoRedefine/>
    <w:qFormat/>
    <w:uiPriority w:val="99"/>
    <w:rPr>
      <w:rFonts w:ascii="Times New Roman" w:hAnsi="Times New Roman"/>
      <w:kern w:val="2"/>
      <w:sz w:val="21"/>
      <w:szCs w:val="24"/>
    </w:rPr>
  </w:style>
  <w:style w:type="character" w:customStyle="1" w:styleId="60">
    <w:name w:val="unnamed3"/>
    <w:autoRedefine/>
    <w:qFormat/>
    <w:uiPriority w:val="0"/>
  </w:style>
  <w:style w:type="character" w:customStyle="1" w:styleId="61">
    <w:name w:val="font21"/>
    <w:autoRedefine/>
    <w:qFormat/>
    <w:uiPriority w:val="0"/>
    <w:rPr>
      <w:rFonts w:hint="eastAsia" w:ascii="楷体" w:hAnsi="楷体" w:eastAsia="楷体" w:cs="楷体"/>
      <w:color w:val="000000"/>
      <w:sz w:val="24"/>
      <w:szCs w:val="24"/>
      <w:u w:val="none"/>
    </w:rPr>
  </w:style>
  <w:style w:type="character" w:customStyle="1" w:styleId="62">
    <w:name w:val="value"/>
    <w:autoRedefine/>
    <w:qFormat/>
    <w:uiPriority w:val="0"/>
  </w:style>
  <w:style w:type="character" w:customStyle="1" w:styleId="63">
    <w:name w:val="批注主题 字符"/>
    <w:autoRedefine/>
    <w:semiHidden/>
    <w:qFormat/>
    <w:uiPriority w:val="99"/>
    <w:rPr>
      <w:rFonts w:ascii="Tahoma" w:hAnsi="Tahoma" w:eastAsia="微软雅黑" w:cs="Times New Roman"/>
      <w:b/>
      <w:bCs/>
      <w:sz w:val="22"/>
      <w:szCs w:val="22"/>
    </w:rPr>
  </w:style>
  <w:style w:type="character" w:customStyle="1" w:styleId="64">
    <w:name w:val="A13"/>
    <w:autoRedefine/>
    <w:qFormat/>
    <w:uiPriority w:val="99"/>
    <w:rPr>
      <w:rFonts w:ascii="Univers LT Std 45 Light" w:eastAsia="Univers LT Std 45 Light"/>
      <w:color w:val="221E1F"/>
      <w:sz w:val="10"/>
    </w:rPr>
  </w:style>
  <w:style w:type="character" w:customStyle="1" w:styleId="65">
    <w:name w:val="font51"/>
    <w:autoRedefine/>
    <w:qFormat/>
    <w:uiPriority w:val="0"/>
    <w:rPr>
      <w:rFonts w:hint="eastAsia" w:ascii="宋体" w:hAnsi="宋体" w:eastAsia="宋体" w:cs="宋体"/>
      <w:color w:val="000000"/>
      <w:sz w:val="22"/>
      <w:szCs w:val="22"/>
      <w:u w:val="none"/>
    </w:rPr>
  </w:style>
  <w:style w:type="character" w:customStyle="1" w:styleId="66">
    <w:name w:val="apple-converted-space"/>
    <w:autoRedefine/>
    <w:qFormat/>
    <w:uiPriority w:val="0"/>
  </w:style>
  <w:style w:type="character" w:customStyle="1" w:styleId="67">
    <w:name w:val="font11"/>
    <w:autoRedefine/>
    <w:qFormat/>
    <w:uiPriority w:val="0"/>
    <w:rPr>
      <w:rFonts w:hint="eastAsia" w:ascii="仿宋" w:hAnsi="仿宋" w:eastAsia="仿宋" w:cs="仿宋"/>
      <w:color w:val="000000"/>
      <w:sz w:val="30"/>
      <w:szCs w:val="30"/>
      <w:u w:val="none"/>
    </w:rPr>
  </w:style>
  <w:style w:type="character" w:customStyle="1" w:styleId="68">
    <w:name w:val="纯文本 Char"/>
    <w:autoRedefine/>
    <w:qFormat/>
    <w:locked/>
    <w:uiPriority w:val="0"/>
    <w:rPr>
      <w:rFonts w:ascii="宋体" w:hAnsi="Courier New" w:eastAsia="宋体" w:cs="Courier New"/>
      <w:sz w:val="21"/>
      <w:szCs w:val="21"/>
    </w:rPr>
  </w:style>
  <w:style w:type="character" w:customStyle="1" w:styleId="69">
    <w:name w:val="标题 1 字符"/>
    <w:autoRedefine/>
    <w:qFormat/>
    <w:uiPriority w:val="9"/>
    <w:rPr>
      <w:rFonts w:eastAsia="仿宋"/>
      <w:b/>
      <w:bCs/>
      <w:kern w:val="44"/>
      <w:sz w:val="32"/>
      <w:szCs w:val="44"/>
    </w:rPr>
  </w:style>
  <w:style w:type="character" w:customStyle="1" w:styleId="70">
    <w:name w:val="label"/>
    <w:autoRedefine/>
    <w:qFormat/>
    <w:uiPriority w:val="0"/>
  </w:style>
  <w:style w:type="character" w:customStyle="1" w:styleId="71">
    <w:name w:val="正文文本缩进 2 Char1"/>
    <w:autoRedefine/>
    <w:semiHidden/>
    <w:qFormat/>
    <w:uiPriority w:val="99"/>
    <w:rPr>
      <w:rFonts w:eastAsia="仿宋"/>
      <w:kern w:val="2"/>
      <w:sz w:val="24"/>
    </w:rPr>
  </w:style>
  <w:style w:type="character" w:customStyle="1" w:styleId="72">
    <w:name w:val="font31"/>
    <w:autoRedefine/>
    <w:qFormat/>
    <w:uiPriority w:val="0"/>
    <w:rPr>
      <w:rFonts w:hint="eastAsia" w:ascii="宋体" w:hAnsi="宋体" w:eastAsia="宋体" w:cs="宋体"/>
      <w:color w:val="000000"/>
      <w:sz w:val="22"/>
      <w:szCs w:val="22"/>
      <w:u w:val="none"/>
    </w:rPr>
  </w:style>
  <w:style w:type="character" w:customStyle="1" w:styleId="73">
    <w:name w:val="标题 2 字符"/>
    <w:autoRedefine/>
    <w:qFormat/>
    <w:uiPriority w:val="9"/>
    <w:rPr>
      <w:rFonts w:ascii="Arial" w:hAnsi="Arial" w:eastAsia="仿宋"/>
      <w:b/>
      <w:sz w:val="30"/>
    </w:rPr>
  </w:style>
  <w:style w:type="character" w:customStyle="1" w:styleId="74">
    <w:name w:val="正文文本缩进 2 Char"/>
    <w:autoRedefine/>
    <w:semiHidden/>
    <w:qFormat/>
    <w:uiPriority w:val="99"/>
    <w:rPr>
      <w:rFonts w:eastAsia="仿宋"/>
      <w:kern w:val="2"/>
      <w:sz w:val="24"/>
    </w:rPr>
  </w:style>
  <w:style w:type="character" w:customStyle="1" w:styleId="75">
    <w:name w:val="Plain Text Char"/>
    <w:autoRedefine/>
    <w:semiHidden/>
    <w:qFormat/>
    <w:uiPriority w:val="99"/>
    <w:rPr>
      <w:rFonts w:ascii="宋体" w:hAnsi="Courier New" w:cs="Courier New"/>
      <w:kern w:val="2"/>
      <w:sz w:val="21"/>
      <w:szCs w:val="21"/>
    </w:rPr>
  </w:style>
  <w:style w:type="character" w:customStyle="1" w:styleId="76">
    <w:name w:val="hangju1"/>
    <w:autoRedefine/>
    <w:qFormat/>
    <w:uiPriority w:val="0"/>
    <w:rPr>
      <w:rFonts w:cs="Times New Roman"/>
    </w:rPr>
  </w:style>
  <w:style w:type="character" w:customStyle="1" w:styleId="77">
    <w:name w:val="HTML 预设格式 Char"/>
    <w:autoRedefine/>
    <w:semiHidden/>
    <w:qFormat/>
    <w:uiPriority w:val="99"/>
    <w:rPr>
      <w:rFonts w:ascii="Courier New" w:hAnsi="Courier New" w:eastAsia="仿宋" w:cs="Courier New"/>
      <w:kern w:val="2"/>
    </w:rPr>
  </w:style>
  <w:style w:type="character" w:customStyle="1" w:styleId="78">
    <w:name w:val="页脚 Char Char"/>
    <w:autoRedefine/>
    <w:qFormat/>
    <w:uiPriority w:val="0"/>
    <w:rPr>
      <w:rFonts w:eastAsia="宋体"/>
      <w:sz w:val="18"/>
      <w:lang w:val="en-US" w:eastAsia="zh-CN" w:bidi="ar-SA"/>
    </w:rPr>
  </w:style>
  <w:style w:type="character" w:customStyle="1" w:styleId="79">
    <w:name w:val="纯文本 字符"/>
    <w:autoRedefine/>
    <w:qFormat/>
    <w:locked/>
    <w:uiPriority w:val="99"/>
    <w:rPr>
      <w:rFonts w:ascii="宋体" w:hAnsi="Courier New" w:eastAsia="宋体" w:cs="Times New Roman"/>
      <w:szCs w:val="20"/>
    </w:rPr>
  </w:style>
  <w:style w:type="character" w:customStyle="1" w:styleId="80">
    <w:name w:val="正文文本 3 字符"/>
    <w:autoRedefine/>
    <w:qFormat/>
    <w:uiPriority w:val="0"/>
    <w:rPr>
      <w:rFonts w:ascii="Times New Roman" w:hAnsi="Times New Roman" w:eastAsia="宋体" w:cs="Times New Roman"/>
      <w:sz w:val="16"/>
      <w:szCs w:val="16"/>
    </w:rPr>
  </w:style>
  <w:style w:type="character" w:customStyle="1" w:styleId="81">
    <w:name w:val="页脚 字符"/>
    <w:autoRedefine/>
    <w:qFormat/>
    <w:uiPriority w:val="99"/>
    <w:rPr>
      <w:rFonts w:ascii="Times New Roman" w:hAnsi="Times New Roman" w:eastAsia="宋体" w:cs="Times New Roman"/>
      <w:sz w:val="18"/>
      <w:szCs w:val="18"/>
    </w:rPr>
  </w:style>
  <w:style w:type="character" w:customStyle="1" w:styleId="82">
    <w:name w:val="font01"/>
    <w:autoRedefine/>
    <w:qFormat/>
    <w:uiPriority w:val="0"/>
    <w:rPr>
      <w:rFonts w:hint="eastAsia" w:ascii="宋体" w:hAnsi="宋体" w:eastAsia="宋体" w:cs="宋体"/>
      <w:color w:val="000000"/>
      <w:sz w:val="20"/>
      <w:szCs w:val="20"/>
      <w:u w:val="none"/>
    </w:rPr>
  </w:style>
  <w:style w:type="character" w:customStyle="1" w:styleId="83">
    <w:name w:val="页眉 字符"/>
    <w:autoRedefine/>
    <w:qFormat/>
    <w:uiPriority w:val="99"/>
    <w:rPr>
      <w:rFonts w:ascii="Times New Roman" w:hAnsi="Times New Roman" w:eastAsia="宋体" w:cs="Times New Roman"/>
      <w:szCs w:val="20"/>
    </w:rPr>
  </w:style>
  <w:style w:type="character" w:customStyle="1" w:styleId="84">
    <w:name w:val="批注文字 字符"/>
    <w:autoRedefine/>
    <w:semiHidden/>
    <w:qFormat/>
    <w:uiPriority w:val="99"/>
    <w:rPr>
      <w:rFonts w:ascii="Tahoma" w:hAnsi="Tahoma" w:eastAsia="微软雅黑" w:cs="Times New Roman"/>
      <w:sz w:val="22"/>
      <w:szCs w:val="22"/>
    </w:rPr>
  </w:style>
  <w:style w:type="character" w:customStyle="1" w:styleId="85">
    <w:name w:val="font41"/>
    <w:autoRedefine/>
    <w:qFormat/>
    <w:uiPriority w:val="0"/>
    <w:rPr>
      <w:rFonts w:hint="default" w:ascii="Times New Roman" w:hAnsi="Times New Roman" w:cs="Times New Roman"/>
      <w:color w:val="000000"/>
      <w:sz w:val="22"/>
      <w:szCs w:val="22"/>
      <w:u w:val="none"/>
    </w:rPr>
  </w:style>
  <w:style w:type="character" w:customStyle="1" w:styleId="86">
    <w:name w:val="正文文本缩进 Char1"/>
    <w:autoRedefine/>
    <w:qFormat/>
    <w:uiPriority w:val="0"/>
    <w:rPr>
      <w:sz w:val="21"/>
    </w:rPr>
  </w:style>
  <w:style w:type="character" w:customStyle="1" w:styleId="87">
    <w:name w:val="日期 字符"/>
    <w:autoRedefine/>
    <w:qFormat/>
    <w:uiPriority w:val="0"/>
    <w:rPr>
      <w:rFonts w:ascii="Times New Roman" w:hAnsi="Times New Roman" w:eastAsia="宋体" w:cs="Times New Roman"/>
      <w:szCs w:val="20"/>
    </w:rPr>
  </w:style>
  <w:style w:type="character" w:customStyle="1" w:styleId="88">
    <w:name w:val="正文文本缩进 字符"/>
    <w:autoRedefine/>
    <w:qFormat/>
    <w:uiPriority w:val="0"/>
    <w:rPr>
      <w:rFonts w:ascii="仿宋" w:eastAsia="仿宋"/>
      <w:kern w:val="2"/>
      <w:sz w:val="24"/>
    </w:rPr>
  </w:style>
  <w:style w:type="character" w:customStyle="1" w:styleId="89">
    <w:name w:val="批注框文本 字符"/>
    <w:autoRedefine/>
    <w:semiHidden/>
    <w:qFormat/>
    <w:uiPriority w:val="99"/>
    <w:rPr>
      <w:rFonts w:ascii="Times New Roman" w:hAnsi="Times New Roman"/>
      <w:kern w:val="2"/>
      <w:sz w:val="18"/>
      <w:szCs w:val="18"/>
    </w:rPr>
  </w:style>
  <w:style w:type="character" w:customStyle="1" w:styleId="90">
    <w:name w:val="正文文本缩进 Char2"/>
    <w:autoRedefine/>
    <w:semiHidden/>
    <w:qFormat/>
    <w:uiPriority w:val="99"/>
    <w:rPr>
      <w:kern w:val="2"/>
      <w:sz w:val="21"/>
      <w:szCs w:val="22"/>
    </w:rPr>
  </w:style>
  <w:style w:type="character" w:customStyle="1" w:styleId="91">
    <w:name w:val="正文文本 字符"/>
    <w:autoRedefine/>
    <w:qFormat/>
    <w:uiPriority w:val="99"/>
    <w:rPr>
      <w:rFonts w:eastAsia="仿宋"/>
      <w:kern w:val="2"/>
      <w:sz w:val="24"/>
    </w:rPr>
  </w:style>
  <w:style w:type="character" w:customStyle="1" w:styleId="92">
    <w:name w:val="正文文本缩进 3 Char"/>
    <w:autoRedefine/>
    <w:semiHidden/>
    <w:qFormat/>
    <w:uiPriority w:val="99"/>
    <w:rPr>
      <w:rFonts w:eastAsia="仿宋"/>
      <w:kern w:val="2"/>
      <w:sz w:val="16"/>
      <w:szCs w:val="16"/>
    </w:rPr>
  </w:style>
  <w:style w:type="character" w:customStyle="1" w:styleId="93">
    <w:name w:val="h"/>
    <w:autoRedefine/>
    <w:qFormat/>
    <w:uiPriority w:val="0"/>
  </w:style>
  <w:style w:type="paragraph" w:customStyle="1" w:styleId="94">
    <w:name w:val="font9"/>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95">
    <w:name w:val="_Style 34"/>
    <w:basedOn w:val="1"/>
    <w:next w:val="96"/>
    <w:autoRedefine/>
    <w:qFormat/>
    <w:uiPriority w:val="34"/>
    <w:pPr>
      <w:ind w:firstLine="420"/>
      <w:jc w:val="left"/>
    </w:pPr>
  </w:style>
  <w:style w:type="paragraph" w:customStyle="1" w:styleId="96">
    <w:name w:val="列出段落1"/>
    <w:basedOn w:val="1"/>
    <w:autoRedefine/>
    <w:qFormat/>
    <w:uiPriority w:val="34"/>
    <w:pPr>
      <w:ind w:firstLine="420"/>
    </w:pPr>
    <w:rPr>
      <w:szCs w:val="24"/>
    </w:rPr>
  </w:style>
  <w:style w:type="paragraph" w:customStyle="1" w:styleId="97">
    <w:name w:val="TOC 标题1"/>
    <w:basedOn w:val="2"/>
    <w:next w:val="1"/>
    <w:autoRedefine/>
    <w:qFormat/>
    <w:uiPriority w:val="39"/>
    <w:pPr>
      <w:widowControl/>
      <w:spacing w:before="480" w:line="276" w:lineRule="auto"/>
      <w:ind w:firstLine="0" w:firstLineChars="0"/>
      <w:jc w:val="left"/>
      <w:outlineLvl w:val="9"/>
    </w:pPr>
    <w:rPr>
      <w:rFonts w:ascii="Cambria" w:hAnsi="Cambria" w:eastAsia="宋体"/>
      <w:color w:val="365F91"/>
      <w:kern w:val="0"/>
      <w:sz w:val="28"/>
      <w:szCs w:val="28"/>
    </w:rPr>
  </w:style>
  <w:style w:type="paragraph" w:customStyle="1" w:styleId="98">
    <w:name w:val="font13"/>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99">
    <w:name w:val="font1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00">
    <w:name w:val="font16"/>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101">
    <w:name w:val="font12"/>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1"/>
      <w:szCs w:val="21"/>
    </w:rPr>
  </w:style>
  <w:style w:type="paragraph" w:customStyle="1" w:styleId="102">
    <w:name w:val="font14"/>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103">
    <w:name w:val="List Paragraph1"/>
    <w:basedOn w:val="1"/>
    <w:autoRedefine/>
    <w:qFormat/>
    <w:uiPriority w:val="99"/>
    <w:pPr>
      <w:ind w:firstLine="420"/>
    </w:pPr>
    <w:rPr>
      <w:rFonts w:ascii="Calibri" w:hAnsi="Calibri"/>
      <w:szCs w:val="22"/>
    </w:rPr>
  </w:style>
  <w:style w:type="paragraph" w:customStyle="1" w:styleId="10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05">
    <w:name w:val="表格"/>
    <w:basedOn w:val="1"/>
    <w:autoRedefine/>
    <w:qFormat/>
    <w:uiPriority w:val="0"/>
    <w:pPr>
      <w:spacing w:line="240" w:lineRule="auto"/>
      <w:ind w:left="280" w:firstLine="0" w:firstLineChars="0"/>
    </w:pPr>
    <w:rPr>
      <w:rFonts w:eastAsia="宋体"/>
    </w:rPr>
  </w:style>
  <w:style w:type="paragraph" w:customStyle="1" w:styleId="106">
    <w:name w:val="默认段落字体 Para Char Char Char Char Char Char Char Char Char1 Char Char Char Char"/>
    <w:basedOn w:val="1"/>
    <w:autoRedefine/>
    <w:qFormat/>
    <w:uiPriority w:val="0"/>
    <w:rPr>
      <w:rFonts w:ascii="Tahoma" w:hAnsi="Tahoma"/>
    </w:rPr>
  </w:style>
  <w:style w:type="paragraph" w:customStyle="1" w:styleId="10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表内文字"/>
    <w:basedOn w:val="1"/>
    <w:autoRedefine/>
    <w:qFormat/>
    <w:uiPriority w:val="0"/>
    <w:pPr>
      <w:tabs>
        <w:tab w:val="left" w:pos="1418"/>
      </w:tabs>
      <w:jc w:val="center"/>
    </w:pPr>
    <w:rPr>
      <w:rFonts w:ascii="仿宋_GB2312" w:eastAsia="仿宋_GB2312"/>
      <w:spacing w:val="-20"/>
      <w:kern w:val="0"/>
      <w:szCs w:val="24"/>
    </w:rPr>
  </w:style>
  <w:style w:type="paragraph" w:customStyle="1" w:styleId="109">
    <w:name w:val="font6"/>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10">
    <w:name w:val="(A1)AbsatzAufz1"/>
    <w:basedOn w:val="1"/>
    <w:autoRedefine/>
    <w:qFormat/>
    <w:uiPriority w:val="0"/>
    <w:pPr>
      <w:spacing w:before="100" w:beforeAutospacing="1" w:after="120" w:line="240" w:lineRule="exact"/>
      <w:ind w:left="1702" w:right="1418" w:hanging="284"/>
      <w:jc w:val="left"/>
    </w:pPr>
    <w:rPr>
      <w:rFonts w:ascii="Arial" w:hAnsi="Arial" w:eastAsia="宋体"/>
      <w:kern w:val="0"/>
      <w:sz w:val="22"/>
    </w:rPr>
  </w:style>
  <w:style w:type="paragraph" w:customStyle="1" w:styleId="111">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列出段落11"/>
    <w:basedOn w:val="1"/>
    <w:autoRedefine/>
    <w:qFormat/>
    <w:uiPriority w:val="0"/>
    <w:pPr>
      <w:ind w:firstLine="420"/>
    </w:pPr>
  </w:style>
  <w:style w:type="paragraph" w:customStyle="1" w:styleId="113">
    <w:name w:val="font5"/>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114">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Char Char Char Char Char Char Char Char Char Char"/>
    <w:basedOn w:val="1"/>
    <w:autoRedefine/>
    <w:qFormat/>
    <w:uiPriority w:val="0"/>
    <w:pPr>
      <w:widowControl/>
      <w:adjustRightInd w:val="0"/>
      <w:ind w:firstLine="0" w:firstLineChars="0"/>
      <w:jc w:val="left"/>
    </w:pPr>
    <w:rPr>
      <w:rFonts w:ascii="宋体" w:hAnsi="宋体" w:eastAsia="宋体" w:cs="宋体"/>
      <w:kern w:val="0"/>
      <w:szCs w:val="24"/>
    </w:rPr>
  </w:style>
  <w:style w:type="paragraph" w:customStyle="1" w:styleId="116">
    <w:name w:val="Char1 Char Char Char"/>
    <w:basedOn w:val="1"/>
    <w:autoRedefine/>
    <w:qFormat/>
    <w:uiPriority w:val="0"/>
    <w:pPr>
      <w:spacing w:line="240" w:lineRule="auto"/>
      <w:ind w:firstLine="0" w:firstLineChars="0"/>
    </w:pPr>
    <w:rPr>
      <w:rFonts w:eastAsia="宋体"/>
      <w:sz w:val="21"/>
      <w:szCs w:val="24"/>
    </w:rPr>
  </w:style>
  <w:style w:type="paragraph" w:customStyle="1" w:styleId="117">
    <w:name w:val="font24"/>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18">
    <w:name w:val="font8"/>
    <w:basedOn w:val="1"/>
    <w:autoRedefine/>
    <w:qFormat/>
    <w:uiPriority w:val="99"/>
    <w:pPr>
      <w:widowControl/>
      <w:spacing w:before="100" w:beforeAutospacing="1" w:after="100" w:afterAutospacing="1" w:line="240" w:lineRule="auto"/>
      <w:ind w:firstLine="0" w:firstLineChars="0"/>
      <w:jc w:val="left"/>
    </w:pPr>
    <w:rPr>
      <w:rFonts w:eastAsia="宋体"/>
      <w:kern w:val="0"/>
      <w:szCs w:val="24"/>
    </w:rPr>
  </w:style>
  <w:style w:type="paragraph" w:customStyle="1" w:styleId="119">
    <w:name w:val="font7"/>
    <w:basedOn w:val="1"/>
    <w:autoRedefine/>
    <w:qFormat/>
    <w:uiPriority w:val="99"/>
    <w:pPr>
      <w:widowControl/>
      <w:spacing w:before="100" w:beforeAutospacing="1" w:after="100" w:afterAutospacing="1" w:line="240" w:lineRule="auto"/>
      <w:ind w:firstLine="0" w:firstLineChars="0"/>
      <w:jc w:val="left"/>
    </w:pPr>
    <w:rPr>
      <w:rFonts w:eastAsia="宋体"/>
      <w:kern w:val="0"/>
      <w:sz w:val="22"/>
      <w:szCs w:val="22"/>
    </w:rPr>
  </w:style>
  <w:style w:type="paragraph" w:customStyle="1" w:styleId="120">
    <w:name w:val="表 靠左"/>
    <w:basedOn w:val="1"/>
    <w:autoRedefine/>
    <w:qFormat/>
    <w:uiPriority w:val="0"/>
    <w:pPr>
      <w:jc w:val="left"/>
    </w:pPr>
    <w:rPr>
      <w:szCs w:val="21"/>
    </w:rPr>
  </w:style>
  <w:style w:type="paragraph" w:customStyle="1" w:styleId="121">
    <w:name w:val="Table Paragraph"/>
    <w:basedOn w:val="1"/>
    <w:autoRedefine/>
    <w:qFormat/>
    <w:uiPriority w:val="1"/>
    <w:pPr>
      <w:autoSpaceDE w:val="0"/>
      <w:autoSpaceDN w:val="0"/>
      <w:spacing w:before="72" w:line="356" w:lineRule="exact"/>
      <w:ind w:firstLine="0" w:firstLineChars="0"/>
      <w:jc w:val="center"/>
    </w:pPr>
    <w:rPr>
      <w:rFonts w:ascii="微软雅黑" w:hAnsi="微软雅黑" w:eastAsia="微软雅黑" w:cs="微软雅黑"/>
      <w:kern w:val="0"/>
      <w:sz w:val="22"/>
      <w:szCs w:val="22"/>
      <w:lang w:val="zh-CN" w:bidi="zh-CN"/>
    </w:rPr>
  </w:style>
  <w:style w:type="paragraph" w:customStyle="1" w:styleId="122">
    <w:name w:val="列表段落1"/>
    <w:basedOn w:val="1"/>
    <w:autoRedefine/>
    <w:qFormat/>
    <w:uiPriority w:val="34"/>
    <w:pPr>
      <w:spacing w:line="240" w:lineRule="auto"/>
      <w:ind w:firstLine="420"/>
      <w:jc w:val="left"/>
    </w:pPr>
    <w:rPr>
      <w:rFonts w:eastAsia="宋体"/>
      <w:szCs w:val="21"/>
    </w:rPr>
  </w:style>
  <w:style w:type="paragraph" w:customStyle="1" w:styleId="123">
    <w:name w:val="标准"/>
    <w:basedOn w:val="1"/>
    <w:autoRedefine/>
    <w:qFormat/>
    <w:uiPriority w:val="0"/>
    <w:pPr>
      <w:adjustRightInd w:val="0"/>
      <w:spacing w:before="120" w:after="120" w:line="312" w:lineRule="atLeast"/>
      <w:ind w:firstLine="0" w:firstLineChars="0"/>
      <w:textAlignment w:val="baseline"/>
    </w:pPr>
    <w:rPr>
      <w:rFonts w:ascii="宋体" w:eastAsia="宋体"/>
      <w:kern w:val="0"/>
      <w:sz w:val="21"/>
    </w:rPr>
  </w:style>
  <w:style w:type="paragraph" w:customStyle="1" w:styleId="124">
    <w:name w:val="列出段落2"/>
    <w:basedOn w:val="1"/>
    <w:autoRedefine/>
    <w:qFormat/>
    <w:uiPriority w:val="0"/>
    <w:pPr>
      <w:spacing w:line="240" w:lineRule="auto"/>
      <w:ind w:firstLine="420"/>
      <w:jc w:val="left"/>
    </w:pPr>
    <w:rPr>
      <w:rFonts w:cs="Calibri"/>
      <w:szCs w:val="21"/>
    </w:rPr>
  </w:style>
  <w:style w:type="paragraph" w:customStyle="1" w:styleId="125">
    <w:name w:val="font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6">
    <w:name w:val="默认段落字体 Para Char Char Char Char Char Char Char Char Char Char Char Char Char Char Char Char"/>
    <w:basedOn w:val="1"/>
    <w:autoRedefine/>
    <w:qFormat/>
    <w:uiPriority w:val="0"/>
    <w:pPr>
      <w:jc w:val="left"/>
    </w:pPr>
    <w:rPr>
      <w:rFonts w:ascii="Tahoma" w:hAnsi="Tahoma"/>
    </w:rPr>
  </w:style>
  <w:style w:type="paragraph" w:customStyle="1" w:styleId="127">
    <w:name w:val="style5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8">
    <w:name w:val="font15"/>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9">
    <w:name w:val="font17"/>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0">
    <w:name w:val="xl66"/>
    <w:basedOn w:val="1"/>
    <w:autoRedefine/>
    <w:qFormat/>
    <w:uiPriority w:val="99"/>
    <w:pPr>
      <w:widowControl/>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31">
    <w:name w:val="font18"/>
    <w:basedOn w:val="1"/>
    <w:autoRedefine/>
    <w:qFormat/>
    <w:uiPriority w:val="99"/>
    <w:pPr>
      <w:widowControl/>
      <w:spacing w:before="100" w:beforeAutospacing="1" w:after="100" w:afterAutospacing="1" w:line="240" w:lineRule="auto"/>
      <w:ind w:firstLine="0" w:firstLineChars="0"/>
      <w:jc w:val="left"/>
    </w:pPr>
    <w:rPr>
      <w:rFonts w:eastAsia="宋体"/>
      <w:kern w:val="0"/>
      <w:sz w:val="21"/>
      <w:szCs w:val="21"/>
    </w:rPr>
  </w:style>
  <w:style w:type="paragraph" w:customStyle="1" w:styleId="132">
    <w:name w:val="font19"/>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1"/>
      <w:szCs w:val="21"/>
    </w:rPr>
  </w:style>
  <w:style w:type="paragraph" w:customStyle="1" w:styleId="133">
    <w:name w:val="font2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134">
    <w:name w:val="font22"/>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FF0000"/>
      <w:kern w:val="0"/>
      <w:szCs w:val="24"/>
    </w:rPr>
  </w:style>
  <w:style w:type="paragraph" w:customStyle="1" w:styleId="135">
    <w:name w:val="font23"/>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color w:val="FF0000"/>
      <w:kern w:val="0"/>
      <w:szCs w:val="24"/>
    </w:rPr>
  </w:style>
  <w:style w:type="paragraph" w:customStyle="1" w:styleId="136">
    <w:name w:val="xl67"/>
    <w:basedOn w:val="1"/>
    <w:autoRedefine/>
    <w:qFormat/>
    <w:uiPriority w:val="99"/>
    <w:pPr>
      <w:widowControl/>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37">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38">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2"/>
      <w:szCs w:val="22"/>
    </w:rPr>
  </w:style>
  <w:style w:type="paragraph" w:customStyle="1" w:styleId="139">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2"/>
      <w:szCs w:val="22"/>
    </w:rPr>
  </w:style>
  <w:style w:type="paragraph" w:customStyle="1" w:styleId="14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2"/>
      <w:szCs w:val="22"/>
    </w:rPr>
  </w:style>
  <w:style w:type="paragraph" w:customStyle="1" w:styleId="141">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2">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3">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Cs w:val="24"/>
    </w:rPr>
  </w:style>
  <w:style w:type="paragraph" w:customStyle="1" w:styleId="14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45">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6">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Cs w:val="24"/>
    </w:rPr>
  </w:style>
  <w:style w:type="paragraph" w:customStyle="1" w:styleId="147">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8">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49">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50">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Cs w:val="24"/>
    </w:rPr>
  </w:style>
  <w:style w:type="paragraph" w:customStyle="1" w:styleId="151">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52">
    <w:name w:val="xl83"/>
    <w:basedOn w:val="1"/>
    <w:autoRedefine/>
    <w:qFormat/>
    <w:uiPriority w:val="99"/>
    <w:pPr>
      <w:widowControl/>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53">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Cs w:val="24"/>
    </w:rPr>
  </w:style>
  <w:style w:type="paragraph" w:customStyle="1" w:styleId="154">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 w:val="22"/>
      <w:szCs w:val="22"/>
    </w:rPr>
  </w:style>
  <w:style w:type="paragraph" w:customStyle="1" w:styleId="155">
    <w:name w:val="xl86"/>
    <w:basedOn w:val="1"/>
    <w:autoRedefine/>
    <w:qFormat/>
    <w:uiPriority w:val="99"/>
    <w:pPr>
      <w:widowControl/>
      <w:spacing w:before="100" w:beforeAutospacing="1" w:after="100" w:afterAutospacing="1" w:line="240" w:lineRule="auto"/>
      <w:ind w:firstLine="0" w:firstLineChars="0"/>
      <w:jc w:val="left"/>
      <w:textAlignment w:val="center"/>
    </w:pPr>
    <w:rPr>
      <w:rFonts w:ascii="宋体" w:hAnsi="宋体" w:eastAsia="宋体" w:cs="宋体"/>
      <w:color w:val="FF0000"/>
      <w:kern w:val="0"/>
      <w:szCs w:val="24"/>
    </w:rPr>
  </w:style>
  <w:style w:type="paragraph" w:customStyle="1" w:styleId="156">
    <w:name w:val="xl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 w:val="22"/>
      <w:szCs w:val="22"/>
    </w:rPr>
  </w:style>
  <w:style w:type="paragraph" w:customStyle="1" w:styleId="157">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158">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2"/>
      <w:szCs w:val="22"/>
    </w:rPr>
  </w:style>
  <w:style w:type="paragraph" w:customStyle="1" w:styleId="159">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table" w:customStyle="1" w:styleId="160">
    <w:name w:val="网格型3"/>
    <w:basedOn w:val="28"/>
    <w:autoRedefine/>
    <w:qFormat/>
    <w:uiPriority w:val="5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2"/>
    <w:basedOn w:val="28"/>
    <w:autoRedefine/>
    <w:qFormat/>
    <w:uiPriority w:val="0"/>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1"/>
    <w:basedOn w:val="28"/>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Normal"/>
    <w:autoRedefine/>
    <w:unhideWhenUsed/>
    <w:qFormat/>
    <w:uiPriority w:val="2"/>
    <w:tblPr>
      <w:tblCellMar>
        <w:top w:w="0" w:type="dxa"/>
        <w:left w:w="0" w:type="dxa"/>
        <w:bottom w:w="0" w:type="dxa"/>
        <w:right w:w="0" w:type="dxa"/>
      </w:tblCellMar>
    </w:tblPr>
  </w:style>
  <w:style w:type="paragraph" w:customStyle="1" w:styleId="164">
    <w:name w:val="首行缩进"/>
    <w:basedOn w:val="1"/>
    <w:autoRedefine/>
    <w:qFormat/>
    <w:uiPriority w:val="99"/>
    <w:pPr>
      <w:ind w:firstLine="480" w:firstLineChars="0"/>
    </w:pPr>
    <w:rPr>
      <w:rFonts w:hint="eastAsia" w:ascii="宋体" w:hAnsi="宋体" w:eastAsia="宋体"/>
      <w:color w:val="000000"/>
      <w:kern w:val="0"/>
      <w:szCs w:val="24"/>
    </w:rPr>
  </w:style>
  <w:style w:type="paragraph" w:customStyle="1" w:styleId="165">
    <w:name w:val="列表段落11"/>
    <w:basedOn w:val="1"/>
    <w:link w:val="166"/>
    <w:autoRedefine/>
    <w:qFormat/>
    <w:uiPriority w:val="34"/>
    <w:pPr>
      <w:spacing w:line="240" w:lineRule="auto"/>
      <w:ind w:firstLine="420" w:firstLineChars="0"/>
    </w:pPr>
    <w:rPr>
      <w:rFonts w:eastAsia="宋体"/>
      <w:sz w:val="21"/>
      <w:szCs w:val="21"/>
    </w:rPr>
  </w:style>
  <w:style w:type="character" w:customStyle="1" w:styleId="166">
    <w:name w:val="列出段落 Char"/>
    <w:link w:val="165"/>
    <w:autoRedefine/>
    <w:qFormat/>
    <w:uiPriority w:val="34"/>
    <w:rPr>
      <w:kern w:val="2"/>
      <w:sz w:val="21"/>
      <w:szCs w:val="21"/>
    </w:rPr>
  </w:style>
  <w:style w:type="paragraph" w:customStyle="1" w:styleId="167">
    <w:name w:val="TOC 标题11"/>
    <w:basedOn w:val="2"/>
    <w:next w:val="1"/>
    <w:autoRedefine/>
    <w:unhideWhenUsed/>
    <w:qFormat/>
    <w:uiPriority w:val="39"/>
    <w:pPr>
      <w:widowControl/>
      <w:spacing w:before="240" w:beforeAutospacing="1" w:afterAutospacing="1" w:line="259" w:lineRule="auto"/>
      <w:ind w:firstLine="0" w:firstLineChars="0"/>
      <w:jc w:val="left"/>
      <w:outlineLvl w:val="9"/>
    </w:pPr>
    <w:rPr>
      <w:rFonts w:ascii="等线 Light" w:hAnsi="等线 Light" w:eastAsia="等线 Light"/>
      <w:b w:val="0"/>
      <w:bCs w:val="0"/>
      <w:color w:val="2F5496"/>
      <w:kern w:val="0"/>
      <w:sz w:val="32"/>
      <w:szCs w:val="32"/>
    </w:rPr>
  </w:style>
  <w:style w:type="character" w:customStyle="1" w:styleId="168">
    <w:name w:val="竞争性谈判章节名称"/>
    <w:autoRedefine/>
    <w:qFormat/>
    <w:uiPriority w:val="0"/>
    <w:rPr>
      <w:rFonts w:ascii="黑体" w:hAnsi="黑体"/>
      <w:b/>
      <w:sz w:val="36"/>
    </w:rPr>
  </w:style>
  <w:style w:type="paragraph" w:customStyle="1" w:styleId="169">
    <w:name w:val="样式 (符号) 宋体 小二 加粗 居中 行距: 固定值 20 磅"/>
    <w:basedOn w:val="52"/>
    <w:autoRedefine/>
    <w:qFormat/>
    <w:uiPriority w:val="0"/>
    <w:pPr>
      <w:tabs>
        <w:tab w:val="right" w:leader="dot" w:pos="8296"/>
        <w:tab w:val="right" w:leader="dot" w:pos="9061"/>
      </w:tabs>
      <w:spacing w:before="120" w:after="120" w:line="400" w:lineRule="exact"/>
      <w:ind w:firstLine="0" w:firstLineChars="0"/>
      <w:jc w:val="center"/>
    </w:pPr>
    <w:rPr>
      <w:rFonts w:hAnsi="宋体" w:eastAsia="宋体" w:cs="宋体"/>
      <w:bCs/>
      <w:caps/>
      <w:sz w:val="36"/>
    </w:rPr>
  </w:style>
  <w:style w:type="paragraph" w:customStyle="1" w:styleId="170">
    <w:name w:val="列表段落2"/>
    <w:basedOn w:val="1"/>
    <w:autoRedefine/>
    <w:qFormat/>
    <w:uiPriority w:val="0"/>
    <w:pPr>
      <w:spacing w:line="240" w:lineRule="auto"/>
      <w:ind w:firstLine="420"/>
    </w:pPr>
    <w:rPr>
      <w:rFonts w:ascii="等线" w:hAnsi="等线" w:eastAsia="等线"/>
      <w:sz w:val="21"/>
      <w:szCs w:val="22"/>
    </w:rPr>
  </w:style>
  <w:style w:type="paragraph" w:customStyle="1" w:styleId="17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修订2"/>
    <w:autoRedefine/>
    <w:hidden/>
    <w:unhideWhenUsed/>
    <w:qFormat/>
    <w:uiPriority w:val="99"/>
    <w:rPr>
      <w:rFonts w:ascii="Times New Roman" w:hAnsi="Times New Roman" w:eastAsia="仿宋" w:cs="Times New Roman"/>
      <w:kern w:val="2"/>
      <w:sz w:val="24"/>
      <w:lang w:val="en-US" w:eastAsia="zh-CN" w:bidi="ar-SA"/>
    </w:rPr>
  </w:style>
  <w:style w:type="paragraph" w:styleId="173">
    <w:name w:val="List Paragraph"/>
    <w:basedOn w:val="1"/>
    <w:autoRedefine/>
    <w:qFormat/>
    <w:uiPriority w:val="34"/>
    <w:pPr>
      <w:spacing w:line="240" w:lineRule="auto"/>
      <w:ind w:firstLine="420"/>
    </w:pPr>
    <w:rPr>
      <w:rFonts w:asciiTheme="minorHAnsi" w:hAnsiTheme="minorHAnsi" w:eastAsiaTheme="minorEastAsia" w:cstheme="minorBidi"/>
      <w:sz w:val="21"/>
      <w:szCs w:val="22"/>
    </w:rPr>
  </w:style>
  <w:style w:type="character" w:customStyle="1" w:styleId="174">
    <w:name w:val="正文首行缩进 2 Char"/>
    <w:basedOn w:val="45"/>
    <w:link w:val="27"/>
    <w:autoRedefine/>
    <w:qFormat/>
    <w:uiPriority w:val="0"/>
    <w:rPr>
      <w:rFonts w:ascii="Times New Roman" w:hAnsi="Times New Roman" w:eastAsia="仿宋"/>
      <w:kern w:val="2"/>
      <w:sz w:val="24"/>
    </w:rPr>
  </w:style>
  <w:style w:type="paragraph" w:customStyle="1" w:styleId="175">
    <w:name w:val="列出段落3"/>
    <w:basedOn w:val="1"/>
    <w:autoRedefine/>
    <w:qFormat/>
    <w:uiPriority w:val="34"/>
    <w:pPr>
      <w:spacing w:line="240" w:lineRule="auto"/>
      <w:ind w:firstLine="420"/>
    </w:pPr>
    <w:rPr>
      <w:rFonts w:ascii="Calibri" w:hAnsi="Calibri" w:eastAsia="宋体"/>
      <w:sz w:val="21"/>
      <w:szCs w:val="22"/>
    </w:rPr>
  </w:style>
  <w:style w:type="paragraph" w:customStyle="1" w:styleId="17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7">
    <w:name w:val="fontstyle01"/>
    <w:basedOn w:val="30"/>
    <w:autoRedefine/>
    <w:qFormat/>
    <w:uiPriority w:val="0"/>
    <w:rPr>
      <w:rFonts w:hint="eastAsia" w:ascii="仿宋" w:hAnsi="仿宋" w:eastAsia="仿宋"/>
      <w:color w:val="000000"/>
      <w:sz w:val="24"/>
      <w:szCs w:val="24"/>
    </w:rPr>
  </w:style>
  <w:style w:type="paragraph" w:customStyle="1" w:styleId="178">
    <w:name w:val="列出段落4"/>
    <w:basedOn w:val="1"/>
    <w:autoRedefine/>
    <w:qFormat/>
    <w:uiPriority w:val="0"/>
    <w:pPr>
      <w:ind w:firstLine="420"/>
    </w:pPr>
    <w:rPr>
      <w:rFonts w:cs="Calibri"/>
      <w:szCs w:val="21"/>
    </w:rPr>
  </w:style>
  <w:style w:type="character" w:customStyle="1" w:styleId="179">
    <w:name w:val="font81"/>
    <w:basedOn w:val="30"/>
    <w:qFormat/>
    <w:uiPriority w:val="0"/>
    <w:rPr>
      <w:rFonts w:hint="eastAsia" w:ascii="宋体" w:hAnsi="宋体" w:eastAsia="宋体" w:cs="宋体"/>
      <w:color w:val="000000"/>
      <w:sz w:val="20"/>
      <w:szCs w:val="20"/>
      <w:u w:val="none"/>
    </w:rPr>
  </w:style>
  <w:style w:type="character" w:customStyle="1" w:styleId="180">
    <w:name w:val="font251"/>
    <w:basedOn w:val="30"/>
    <w:qFormat/>
    <w:uiPriority w:val="0"/>
    <w:rPr>
      <w:rFonts w:hint="default" w:ascii="Tahoma" w:hAnsi="Tahoma" w:eastAsia="Tahoma" w:cs="Tahoma"/>
      <w:color w:val="000000"/>
      <w:sz w:val="20"/>
      <w:szCs w:val="20"/>
      <w:u w:val="none"/>
    </w:rPr>
  </w:style>
  <w:style w:type="character" w:customStyle="1" w:styleId="181">
    <w:name w:val="font91"/>
    <w:basedOn w:val="30"/>
    <w:qFormat/>
    <w:uiPriority w:val="0"/>
    <w:rPr>
      <w:rFonts w:hint="default" w:ascii="Tahoma" w:hAnsi="Tahoma" w:eastAsia="Tahoma" w:cs="Tahoma"/>
      <w:color w:val="000000"/>
      <w:sz w:val="20"/>
      <w:szCs w:val="20"/>
      <w:u w:val="none"/>
    </w:rPr>
  </w:style>
  <w:style w:type="character" w:customStyle="1" w:styleId="182">
    <w:name w:val="font112"/>
    <w:basedOn w:val="30"/>
    <w:qFormat/>
    <w:uiPriority w:val="0"/>
    <w:rPr>
      <w:rFonts w:hint="eastAsia" w:ascii="宋体" w:hAnsi="宋体" w:eastAsia="宋体" w:cs="宋体"/>
      <w:color w:val="000000"/>
      <w:sz w:val="20"/>
      <w:szCs w:val="20"/>
      <w:u w:val="none"/>
    </w:rPr>
  </w:style>
  <w:style w:type="character" w:customStyle="1" w:styleId="183">
    <w:name w:val="font141"/>
    <w:basedOn w:val="30"/>
    <w:qFormat/>
    <w:uiPriority w:val="0"/>
    <w:rPr>
      <w:rFonts w:hint="default" w:ascii="Times New Roman" w:hAnsi="Times New Roman" w:cs="Times New Roman"/>
      <w:color w:val="000000"/>
      <w:sz w:val="20"/>
      <w:szCs w:val="20"/>
      <w:u w:val="none"/>
    </w:rPr>
  </w:style>
  <w:style w:type="character" w:customStyle="1" w:styleId="184">
    <w:name w:val="font261"/>
    <w:basedOn w:val="30"/>
    <w:qFormat/>
    <w:uiPriority w:val="0"/>
    <w:rPr>
      <w:rFonts w:hint="default" w:ascii="Times New Roman" w:hAnsi="Times New Roman" w:cs="Times New Roman"/>
      <w:color w:val="000000"/>
      <w:sz w:val="20"/>
      <w:szCs w:val="20"/>
      <w:u w:val="none"/>
      <w:vertAlign w:val="subscript"/>
    </w:rPr>
  </w:style>
  <w:style w:type="character" w:customStyle="1" w:styleId="185">
    <w:name w:val="font271"/>
    <w:basedOn w:val="30"/>
    <w:qFormat/>
    <w:uiPriority w:val="0"/>
    <w:rPr>
      <w:rFonts w:hint="eastAsia" w:ascii="宋体" w:hAnsi="宋体" w:eastAsia="宋体" w:cs="宋体"/>
      <w:color w:val="000000"/>
      <w:sz w:val="20"/>
      <w:szCs w:val="20"/>
      <w:u w:val="none"/>
      <w:vertAlign w:val="subscript"/>
    </w:rPr>
  </w:style>
  <w:style w:type="character" w:customStyle="1" w:styleId="186">
    <w:name w:val="font151"/>
    <w:basedOn w:val="30"/>
    <w:qFormat/>
    <w:uiPriority w:val="0"/>
    <w:rPr>
      <w:rFonts w:hint="default" w:ascii="Times New Roman" w:hAnsi="Times New Roman" w:cs="Times New Roman"/>
      <w:color w:val="000000"/>
      <w:sz w:val="20"/>
      <w:szCs w:val="20"/>
      <w:u w:val="none"/>
    </w:rPr>
  </w:style>
  <w:style w:type="character" w:customStyle="1" w:styleId="187">
    <w:name w:val="font131"/>
    <w:basedOn w:val="30"/>
    <w:qFormat/>
    <w:uiPriority w:val="0"/>
    <w:rPr>
      <w:rFonts w:hint="default" w:ascii="Times New Roman" w:hAnsi="Times New Roman" w:cs="Times New Roman"/>
      <w:color w:val="000000"/>
      <w:sz w:val="20"/>
      <w:szCs w:val="20"/>
      <w:u w:val="none"/>
    </w:rPr>
  </w:style>
  <w:style w:type="character" w:customStyle="1" w:styleId="188">
    <w:name w:val="font281"/>
    <w:basedOn w:val="30"/>
    <w:qFormat/>
    <w:uiPriority w:val="0"/>
    <w:rPr>
      <w:rFonts w:ascii="微软雅黑" w:hAnsi="微软雅黑" w:eastAsia="微软雅黑" w:cs="微软雅黑"/>
      <w:color w:val="000000"/>
      <w:sz w:val="20"/>
      <w:szCs w:val="20"/>
      <w:u w:val="none"/>
    </w:rPr>
  </w:style>
  <w:style w:type="character" w:customStyle="1" w:styleId="189">
    <w:name w:val="font291"/>
    <w:basedOn w:val="30"/>
    <w:qFormat/>
    <w:uiPriority w:val="0"/>
    <w:rPr>
      <w:rFonts w:hint="eastAsia" w:ascii="宋体" w:hAnsi="宋体" w:eastAsia="宋体" w:cs="宋体"/>
      <w:color w:val="000000"/>
      <w:sz w:val="24"/>
      <w:szCs w:val="24"/>
      <w:u w:val="none"/>
    </w:rPr>
  </w:style>
  <w:style w:type="character" w:customStyle="1" w:styleId="190">
    <w:name w:val="font301"/>
    <w:basedOn w:val="30"/>
    <w:qFormat/>
    <w:uiPriority w:val="0"/>
    <w:rPr>
      <w:rFonts w:hint="eastAsia" w:ascii="宋体" w:hAnsi="宋体" w:eastAsia="宋体" w:cs="宋体"/>
      <w:color w:val="000000"/>
      <w:sz w:val="24"/>
      <w:szCs w:val="24"/>
      <w:u w:val="none"/>
    </w:rPr>
  </w:style>
  <w:style w:type="character" w:customStyle="1" w:styleId="191">
    <w:name w:val="font181"/>
    <w:basedOn w:val="30"/>
    <w:qFormat/>
    <w:uiPriority w:val="0"/>
    <w:rPr>
      <w:rFonts w:hint="default" w:ascii="Times New Roman" w:hAnsi="Times New Roman" w:cs="Times New Roman"/>
      <w:color w:val="000000"/>
      <w:sz w:val="20"/>
      <w:szCs w:val="20"/>
      <w:u w:val="none"/>
    </w:rPr>
  </w:style>
  <w:style w:type="character" w:customStyle="1" w:styleId="192">
    <w:name w:val="font312"/>
    <w:basedOn w:val="30"/>
    <w:qFormat/>
    <w:uiPriority w:val="0"/>
    <w:rPr>
      <w:rFonts w:hint="default" w:ascii="Times New Roman" w:hAnsi="Times New Roman" w:cs="Times New Roman"/>
      <w:color w:val="000000"/>
      <w:sz w:val="24"/>
      <w:szCs w:val="24"/>
      <w:u w:val="none"/>
    </w:rPr>
  </w:style>
  <w:style w:type="character" w:customStyle="1" w:styleId="193">
    <w:name w:val="font321"/>
    <w:basedOn w:val="30"/>
    <w:qFormat/>
    <w:uiPriority w:val="0"/>
    <w:rPr>
      <w:rFonts w:hint="default" w:ascii="Times New Roman" w:hAnsi="Times New Roman" w:cs="Times New Roman"/>
      <w:color w:val="000000"/>
      <w:sz w:val="24"/>
      <w:szCs w:val="24"/>
      <w:u w:val="none"/>
    </w:rPr>
  </w:style>
  <w:style w:type="character" w:customStyle="1" w:styleId="194">
    <w:name w:val="font331"/>
    <w:basedOn w:val="30"/>
    <w:qFormat/>
    <w:uiPriority w:val="0"/>
    <w:rPr>
      <w:rFonts w:hint="eastAsia" w:ascii="宋体" w:hAnsi="宋体" w:eastAsia="宋体" w:cs="宋体"/>
      <w:color w:val="333333"/>
      <w:sz w:val="22"/>
      <w:szCs w:val="22"/>
      <w:u w:val="none"/>
    </w:rPr>
  </w:style>
  <w:style w:type="character" w:customStyle="1" w:styleId="195">
    <w:name w:val="font341"/>
    <w:basedOn w:val="30"/>
    <w:qFormat/>
    <w:uiPriority w:val="0"/>
    <w:rPr>
      <w:rFonts w:hint="eastAsia" w:ascii="宋体" w:hAnsi="宋体" w:eastAsia="宋体" w:cs="宋体"/>
      <w:color w:val="000000"/>
      <w:sz w:val="24"/>
      <w:szCs w:val="24"/>
      <w:u w:val="none"/>
    </w:rPr>
  </w:style>
  <w:style w:type="character" w:customStyle="1" w:styleId="196">
    <w:name w:val="font212"/>
    <w:basedOn w:val="30"/>
    <w:qFormat/>
    <w:uiPriority w:val="0"/>
    <w:rPr>
      <w:rFonts w:hint="eastAsia" w:ascii="仿宋" w:hAnsi="仿宋" w:eastAsia="仿宋" w:cs="仿宋"/>
      <w:color w:val="000000"/>
      <w:sz w:val="24"/>
      <w:szCs w:val="24"/>
      <w:u w:val="none"/>
    </w:rPr>
  </w:style>
  <w:style w:type="character" w:customStyle="1" w:styleId="197">
    <w:name w:val="font191"/>
    <w:basedOn w:val="30"/>
    <w:qFormat/>
    <w:uiPriority w:val="0"/>
    <w:rPr>
      <w:rFonts w:hint="eastAsia" w:ascii="仿宋" w:hAnsi="仿宋" w:eastAsia="仿宋" w:cs="仿宋"/>
      <w:color w:val="000000"/>
      <w:sz w:val="24"/>
      <w:szCs w:val="24"/>
      <w:u w:val="none"/>
    </w:rPr>
  </w:style>
  <w:style w:type="character" w:customStyle="1" w:styleId="198">
    <w:name w:val="font351"/>
    <w:basedOn w:val="30"/>
    <w:qFormat/>
    <w:uiPriority w:val="0"/>
    <w:rPr>
      <w:rFonts w:hint="eastAsia" w:ascii="仿宋" w:hAnsi="仿宋" w:eastAsia="仿宋" w:cs="仿宋"/>
      <w:color w:val="000000"/>
      <w:sz w:val="24"/>
      <w:szCs w:val="24"/>
      <w:u w:val="none"/>
    </w:rPr>
  </w:style>
  <w:style w:type="character" w:customStyle="1" w:styleId="199">
    <w:name w:val="font361"/>
    <w:basedOn w:val="30"/>
    <w:qFormat/>
    <w:uiPriority w:val="0"/>
    <w:rPr>
      <w:rFonts w:hint="eastAsia" w:ascii="仿宋" w:hAnsi="仿宋" w:eastAsia="仿宋" w:cs="仿宋"/>
      <w:color w:val="333333"/>
      <w:sz w:val="24"/>
      <w:szCs w:val="24"/>
      <w:u w:val="none"/>
    </w:rPr>
  </w:style>
  <w:style w:type="character" w:customStyle="1" w:styleId="200">
    <w:name w:val="font161"/>
    <w:basedOn w:val="30"/>
    <w:qFormat/>
    <w:uiPriority w:val="0"/>
    <w:rPr>
      <w:rFonts w:hint="eastAsia" w:ascii="宋体" w:hAnsi="宋体" w:eastAsia="宋体" w:cs="宋体"/>
      <w:color w:val="000000"/>
      <w:sz w:val="22"/>
      <w:szCs w:val="22"/>
      <w:u w:val="none"/>
    </w:rPr>
  </w:style>
  <w:style w:type="character" w:customStyle="1" w:styleId="201">
    <w:name w:val="font71"/>
    <w:basedOn w:val="30"/>
    <w:qFormat/>
    <w:uiPriority w:val="0"/>
    <w:rPr>
      <w:rFonts w:hint="eastAsia" w:ascii="宋体" w:hAnsi="宋体" w:eastAsia="宋体" w:cs="宋体"/>
      <w:color w:val="000000"/>
      <w:sz w:val="22"/>
      <w:szCs w:val="22"/>
      <w:u w:val="none"/>
    </w:rPr>
  </w:style>
  <w:style w:type="character" w:customStyle="1" w:styleId="202">
    <w:name w:val="font201"/>
    <w:basedOn w:val="30"/>
    <w:qFormat/>
    <w:uiPriority w:val="0"/>
    <w:rPr>
      <w:rFonts w:ascii="PingFang SC" w:hAnsi="PingFang SC" w:eastAsia="PingFang SC" w:cs="PingFang SC"/>
      <w:color w:val="333333"/>
      <w:sz w:val="21"/>
      <w:szCs w:val="21"/>
      <w:u w:val="none"/>
    </w:rPr>
  </w:style>
  <w:style w:type="character" w:customStyle="1" w:styleId="203">
    <w:name w:val="font211"/>
    <w:basedOn w:val="30"/>
    <w:qFormat/>
    <w:uiPriority w:val="0"/>
    <w:rPr>
      <w:rFonts w:hint="eastAsia" w:ascii="宋体" w:hAnsi="宋体" w:eastAsia="宋体" w:cs="宋体"/>
      <w:color w:val="333333"/>
      <w:sz w:val="24"/>
      <w:szCs w:val="24"/>
      <w:u w:val="none"/>
    </w:rPr>
  </w:style>
  <w:style w:type="character" w:customStyle="1" w:styleId="204">
    <w:name w:val="font121"/>
    <w:basedOn w:val="30"/>
    <w:qFormat/>
    <w:uiPriority w:val="0"/>
    <w:rPr>
      <w:rFonts w:hint="default" w:ascii="Times New Roman" w:hAnsi="Times New Roman" w:cs="Times New Roman"/>
      <w:color w:val="000000"/>
      <w:sz w:val="22"/>
      <w:szCs w:val="22"/>
      <w:u w:val="none"/>
    </w:rPr>
  </w:style>
  <w:style w:type="character" w:customStyle="1" w:styleId="205">
    <w:name w:val="font101"/>
    <w:basedOn w:val="30"/>
    <w:qFormat/>
    <w:uiPriority w:val="0"/>
    <w:rPr>
      <w:rFonts w:hint="default" w:ascii="Times New Roman" w:hAnsi="Times New Roman" w:cs="Times New Roman"/>
      <w:color w:val="000000"/>
      <w:sz w:val="22"/>
      <w:szCs w:val="22"/>
      <w:u w:val="none"/>
    </w:rPr>
  </w:style>
  <w:style w:type="character" w:customStyle="1" w:styleId="206">
    <w:name w:val="font61"/>
    <w:basedOn w:val="30"/>
    <w:qFormat/>
    <w:uiPriority w:val="0"/>
    <w:rPr>
      <w:rFonts w:ascii="Microsoft YaHei UI" w:hAnsi="Microsoft YaHei UI" w:eastAsia="Microsoft YaHei UI" w:cs="Microsoft YaHei UI"/>
      <w:color w:val="000000"/>
      <w:sz w:val="18"/>
      <w:szCs w:val="18"/>
      <w:u w:val="none"/>
    </w:rPr>
  </w:style>
  <w:style w:type="character" w:customStyle="1" w:styleId="207">
    <w:name w:val="font111"/>
    <w:basedOn w:val="30"/>
    <w:qFormat/>
    <w:uiPriority w:val="0"/>
    <w:rPr>
      <w:rFonts w:hint="default" w:ascii="Tahoma" w:hAnsi="Tahoma" w:eastAsia="Tahoma" w:cs="Tahoma"/>
      <w:color w:val="000000"/>
      <w:sz w:val="22"/>
      <w:szCs w:val="22"/>
      <w:u w:val="none"/>
    </w:rPr>
  </w:style>
  <w:style w:type="character" w:customStyle="1" w:styleId="208">
    <w:name w:val="font171"/>
    <w:basedOn w:val="30"/>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B7313-8FFC-4811-BCA3-A486270E6A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6911</Words>
  <Characters>7567</Characters>
  <Lines>69</Lines>
  <Paragraphs>19</Paragraphs>
  <TotalTime>20</TotalTime>
  <ScaleCrop>false</ScaleCrop>
  <LinksUpToDate>false</LinksUpToDate>
  <CharactersWithSpaces>7726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2022-11-18T09:42:00Z</dcterms:created>
  <dc:creator>dong</dc:creator>
  <cp:lastModifiedBy>淡(⊙o⊙)墨</cp:lastModifiedBy>
  <cp:lastPrinted>2024-08-19T06:12:00Z</cp:lastPrinted>
  <dcterms:modified xsi:type="dcterms:W3CDTF">2025-09-02T07:55:57Z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3F1A97B00E4641EB8A5AFFE10226DC8B_13</vt:lpwstr>
  </property>
  <property fmtid="{D5CDD505-2E9C-101B-9397-08002B2CF9AE}" pid="4" name="KSOTemplateDocerSaveRecord">
    <vt:lpwstr>eyJoZGlkIjoiYWEzZmU5Mzg0OGNiMGY3NDgxZDk0NGJhMWRjMjczYmUiLCJ1c2VySWQiOiIyMDIzODg0MjEifQ==</vt:lpwstr>
  </property>
</Properties>
</file>